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2"/>
        <w:spacing w:before="120" w:beforeAutospacing="0" w:after="120" w:afterAutospacing="0" w:line="360" w:lineRule="auto"/>
      </w:pPr>
      <w:r>
        <w:t xml:space="preserve"> </w:t>
      </w:r>
      <w:r/>
    </w:p>
    <w:p>
      <w:pPr>
        <w:ind w:firstLine="0"/>
        <w:jc w:val="center"/>
        <w:widowControl w:val="off"/>
        <w:rPr>
          <w:rFonts w:ascii="方正小标宋_GBK" w:hAnsi="方正小标宋_GBK" w:eastAsia="方正小标宋_GBK" w:cs="方正小标宋_GBK"/>
          <w:bCs/>
          <w:color w:val="000000"/>
          <w:sz w:val="96"/>
          <w:szCs w:val="96"/>
        </w:rPr>
      </w:pPr>
      <w:r>
        <w:rPr>
          <w:rFonts w:ascii="方正小标宋_GBK" w:hAnsi="方正小标宋_GBK" w:eastAsia="方正小标宋_GBK" w:cs="方正小标宋_GBK"/>
          <w:bCs/>
          <w:color w:val="000000"/>
          <w:sz w:val="96"/>
          <w:szCs w:val="96"/>
        </w:rPr>
      </w:r>
      <w:r/>
    </w:p>
    <w:p>
      <w:pPr>
        <w:ind w:firstLine="0"/>
        <w:jc w:val="center"/>
        <w:widowControl w:val="off"/>
        <w:rPr>
          <w:rFonts w:ascii="方正小标宋_GBK" w:hAnsi="方正小标宋_GBK" w:eastAsia="方正小标宋_GBK" w:cs="方正小标宋_GBK"/>
          <w:bCs/>
          <w:color w:val="000000"/>
          <w:sz w:val="96"/>
          <w:szCs w:val="96"/>
        </w:rPr>
      </w:pPr>
      <w:r>
        <w:rPr>
          <w:rFonts w:hint="eastAsia" w:ascii="方正小标宋_GBK" w:hAnsi="方正小标宋_GBK" w:eastAsia="方正小标宋_GBK" w:cs="方正小标宋_GBK"/>
          <w:bCs/>
          <w:color w:val="000000"/>
          <w:sz w:val="96"/>
          <w:szCs w:val="96"/>
        </w:rPr>
        <w:t xml:space="preserve">招 标 文 件</w:t>
      </w:r>
      <w:r/>
    </w:p>
    <w:p>
      <w:pPr>
        <w:pStyle w:val="682"/>
        <w:ind w:firstLine="0"/>
        <w:jc w:val="center"/>
        <w:spacing w:before="120" w:beforeAutospacing="0" w:after="120" w:afterAutospacing="0" w:line="360" w:lineRule="auto"/>
        <w:rPr>
          <w:rFonts w:ascii="Arial" w:hAnsi="Arial" w:eastAsia="宋体" w:cs="Arial"/>
          <w:b/>
          <w:sz w:val="32"/>
          <w:szCs w:val="32"/>
        </w:rPr>
      </w:pPr>
      <w:r>
        <w:rPr>
          <w:rFonts w:ascii="Arial" w:hAnsi="Arial" w:eastAsia="宋体" w:cs="Arial"/>
          <w:b/>
          <w:sz w:val="32"/>
          <w:szCs w:val="32"/>
        </w:rPr>
      </w:r>
      <w:r/>
    </w:p>
    <w:p>
      <w:pPr>
        <w:pStyle w:val="682"/>
        <w:ind w:firstLine="0"/>
        <w:jc w:val="center"/>
        <w:spacing w:before="120" w:beforeAutospacing="0" w:after="120" w:afterAutospacing="0" w:line="360" w:lineRule="auto"/>
        <w:rPr>
          <w:rFonts w:ascii="Arial" w:hAnsi="Arial" w:eastAsia="宋体" w:cs="Arial"/>
          <w:b/>
          <w:sz w:val="32"/>
          <w:szCs w:val="32"/>
        </w:rPr>
      </w:pPr>
      <w:r>
        <w:rPr>
          <w:rFonts w:ascii="Arial" w:hAnsi="Arial" w:eastAsia="宋体" w:cs="Arial"/>
          <w:b/>
          <w:sz w:val="32"/>
          <w:szCs w:val="32"/>
        </w:rPr>
      </w:r>
      <w:r/>
    </w:p>
    <w:p>
      <w:pPr>
        <w:pStyle w:val="682"/>
        <w:ind w:firstLine="0"/>
        <w:jc w:val="center"/>
        <w:spacing w:before="120" w:beforeAutospacing="0" w:after="120" w:afterAutospacing="0" w:line="360" w:lineRule="auto"/>
        <w:rPr>
          <w:rFonts w:ascii="Arial" w:hAnsi="Arial" w:eastAsia="宋体" w:cs="Arial"/>
          <w:b/>
          <w:sz w:val="32"/>
          <w:szCs w:val="32"/>
        </w:rPr>
      </w:pPr>
      <w:r>
        <w:rPr>
          <w:rFonts w:ascii="Arial" w:hAnsi="Arial" w:eastAsia="宋体" w:cs="Arial"/>
          <w:b/>
          <w:sz w:val="32"/>
          <w:szCs w:val="32"/>
        </w:rPr>
      </w:r>
      <w:r/>
    </w:p>
    <w:p>
      <w:pPr>
        <w:pStyle w:val="682"/>
        <w:ind w:firstLine="0"/>
        <w:jc w:val="center"/>
        <w:spacing w:before="120" w:beforeAutospacing="0" w:after="120" w:afterAutospacing="0" w:line="360" w:lineRule="auto"/>
        <w:rPr>
          <w:rFonts w:ascii="Arial" w:hAnsi="Arial" w:eastAsia="宋体" w:cs="Arial"/>
          <w:b/>
          <w:sz w:val="32"/>
          <w:szCs w:val="32"/>
        </w:rPr>
      </w:pPr>
      <w:r>
        <w:rPr>
          <w:rFonts w:hint="eastAsia" w:ascii="Arial" w:hAnsi="Arial" w:eastAsia="宋体" w:cs="Arial"/>
          <w:b/>
          <w:sz w:val="32"/>
          <w:szCs w:val="32"/>
        </w:rPr>
        <w:t xml:space="preserve">   </w:t>
      </w:r>
      <w:r/>
    </w:p>
    <w:p>
      <w:pPr>
        <w:pStyle w:val="682"/>
        <w:ind w:firstLine="1920"/>
        <w:jc w:val="both"/>
        <w:spacing w:before="120" w:beforeAutospacing="0" w:after="120" w:afterAutospacing="0" w:line="360" w:lineRule="auto"/>
        <w:rPr>
          <w:rFonts w:hint="eastAsia" w:ascii="宋体" w:hAnsi="Times New Roman" w:eastAsia="宋体"/>
          <w:b/>
          <w:color w:val="000000"/>
          <w:sz w:val="32"/>
          <w:szCs w:val="20"/>
          <w:lang w:eastAsia="zh-CN"/>
        </w:rPr>
      </w:pPr>
      <w:r>
        <w:rPr>
          <w:rFonts w:hint="eastAsia" w:ascii="宋体" w:hAnsi="Times New Roman" w:eastAsia="宋体"/>
          <w:b/>
          <w:color w:val="000000"/>
          <w:sz w:val="32"/>
          <w:szCs w:val="20"/>
        </w:rPr>
        <w:t xml:space="preserve">项目编号：</w:t>
      </w:r>
      <w:r>
        <w:rPr>
          <w:rFonts w:hint="eastAsia" w:ascii="宋体" w:hAnsi="Times New Roman" w:eastAsia="宋体"/>
          <w:b/>
          <w:color w:val="000000"/>
          <w:sz w:val="32"/>
          <w:szCs w:val="20"/>
          <w:lang w:eastAsia="zh-CN"/>
        </w:rPr>
        <w:t xml:space="preserve">JSZC-320900-YCLX-G2026-0004</w:t>
      </w:r>
      <w:r/>
    </w:p>
    <w:p>
      <w:pPr>
        <w:pStyle w:val="682"/>
        <w:ind w:firstLine="0"/>
        <w:jc w:val="center"/>
        <w:spacing w:before="120" w:beforeAutospacing="0" w:after="120" w:afterAutospacing="0" w:line="360" w:lineRule="auto"/>
        <w:rPr>
          <w:rFonts w:ascii="宋体" w:hAnsi="Times New Roman" w:eastAsia="宋体"/>
          <w:bCs/>
          <w:color w:val="000000"/>
          <w:sz w:val="32"/>
          <w:szCs w:val="20"/>
        </w:rPr>
      </w:pPr>
      <w:r>
        <w:rPr>
          <w:rFonts w:hint="eastAsia" w:ascii="宋体" w:hAnsi="Times New Roman" w:eastAsia="宋体"/>
          <w:b/>
          <w:color w:val="000000"/>
          <w:sz w:val="32"/>
          <w:szCs w:val="20"/>
        </w:rPr>
        <w:t xml:space="preserve">    项目名称：新四军纪念馆馆藏文物预防性保护项目</w:t>
      </w:r>
      <w:r/>
    </w:p>
    <w:p>
      <w:pPr>
        <w:pStyle w:val="682"/>
        <w:spacing w:beforeAutospacing="0" w:afterAutospacing="0" w:line="360" w:lineRule="auto"/>
        <w:rPr>
          <w:rFonts w:ascii="宋体" w:hAnsi="Times New Roman" w:eastAsia="宋体"/>
          <w:bCs/>
          <w:color w:val="000000"/>
          <w:sz w:val="32"/>
          <w:szCs w:val="20"/>
        </w:rPr>
      </w:pPr>
      <w:r>
        <w:rPr>
          <w:rFonts w:hint="eastAsia" w:ascii="宋体" w:hAnsi="Times New Roman" w:eastAsia="宋体"/>
          <w:bCs/>
          <w:color w:val="000000"/>
          <w:sz w:val="32"/>
          <w:szCs w:val="20"/>
        </w:rPr>
        <w:t xml:space="preserve"> </w:t>
      </w:r>
      <w:r/>
    </w:p>
    <w:p>
      <w:pPr>
        <w:pStyle w:val="682"/>
        <w:spacing w:beforeAutospacing="0" w:afterAutospacing="0" w:line="360" w:lineRule="auto"/>
        <w:rPr>
          <w:sz w:val="36"/>
          <w:szCs w:val="36"/>
        </w:rPr>
      </w:pPr>
      <w:r>
        <w:rPr>
          <w:sz w:val="36"/>
          <w:szCs w:val="36"/>
        </w:rPr>
        <w:t xml:space="preserve"> </w:t>
      </w:r>
      <w:r>
        <w:rPr>
          <w:rFonts w:hint="eastAsia" w:eastAsia="宋体"/>
          <w:sz w:val="36"/>
          <w:szCs w:val="36"/>
        </w:rPr>
        <w:t xml:space="preserve">              </w:t>
      </w:r>
      <w:r>
        <w:rPr>
          <w:sz w:val="36"/>
          <w:szCs w:val="36"/>
        </w:rPr>
        <w:t xml:space="preserve"> </w:t>
      </w:r>
      <w:r/>
    </w:p>
    <w:p>
      <w:pPr>
        <w:pStyle w:val="682"/>
        <w:spacing w:beforeAutospacing="0" w:afterAutospacing="0" w:line="360" w:lineRule="auto"/>
        <w:rPr>
          <w:sz w:val="36"/>
          <w:szCs w:val="36"/>
        </w:rPr>
      </w:pPr>
      <w:r>
        <w:rPr>
          <w:sz w:val="36"/>
          <w:szCs w:val="36"/>
        </w:rPr>
        <w:t xml:space="preserve"> </w:t>
      </w:r>
      <w:r/>
    </w:p>
    <w:p>
      <w:pPr>
        <w:pStyle w:val="682"/>
        <w:spacing w:beforeAutospacing="0" w:afterAutospacing="0" w:line="360" w:lineRule="auto"/>
        <w:rPr>
          <w:sz w:val="36"/>
          <w:szCs w:val="36"/>
        </w:rPr>
      </w:pPr>
      <w:r>
        <w:rPr>
          <w:sz w:val="36"/>
          <w:szCs w:val="36"/>
        </w:rPr>
      </w:r>
      <w:r/>
    </w:p>
    <w:p>
      <w:pPr>
        <w:pStyle w:val="682"/>
        <w:spacing w:beforeAutospacing="0" w:afterAutospacing="0" w:line="360" w:lineRule="auto"/>
        <w:rPr>
          <w:sz w:val="36"/>
          <w:szCs w:val="36"/>
        </w:rPr>
      </w:pPr>
      <w:r>
        <w:rPr>
          <w:sz w:val="36"/>
          <w:szCs w:val="36"/>
        </w:rPr>
        <w:t xml:space="preserve">  </w:t>
      </w:r>
      <w:r/>
    </w:p>
    <w:p>
      <w:pPr>
        <w:pStyle w:val="682"/>
        <w:ind w:firstLine="0"/>
        <w:jc w:val="center"/>
        <w:spacing w:before="120" w:beforeAutospacing="0" w:after="120" w:afterAutospacing="0" w:line="360" w:lineRule="auto"/>
        <w:rPr>
          <w:rFonts w:ascii="宋体" w:hAnsi="Times New Roman" w:eastAsia="宋体"/>
          <w:bCs/>
          <w:color w:val="000000"/>
          <w:sz w:val="32"/>
          <w:szCs w:val="20"/>
        </w:rPr>
      </w:pPr>
      <w:r>
        <w:rPr>
          <w:rFonts w:hint="eastAsia" w:ascii="宋体" w:hAnsi="Times New Roman" w:eastAsia="宋体"/>
          <w:bCs/>
          <w:color w:val="000000"/>
          <w:sz w:val="32"/>
          <w:szCs w:val="20"/>
        </w:rPr>
        <w:t xml:space="preserve">新四军纪念馆</w:t>
      </w:r>
      <w:r/>
    </w:p>
    <w:p>
      <w:pPr>
        <w:pStyle w:val="682"/>
        <w:ind w:firstLine="0"/>
        <w:jc w:val="center"/>
        <w:spacing w:before="120" w:beforeAutospacing="0" w:after="120" w:afterAutospacing="0" w:line="360" w:lineRule="auto"/>
        <w:rPr>
          <w:rFonts w:ascii="宋体" w:hAnsi="Times New Roman" w:eastAsia="宋体"/>
          <w:bCs/>
          <w:color w:val="000000"/>
          <w:sz w:val="32"/>
          <w:szCs w:val="20"/>
        </w:rPr>
      </w:pPr>
      <w:r>
        <w:rPr>
          <w:rFonts w:hint="eastAsia" w:ascii="宋体" w:hAnsi="Times New Roman" w:eastAsia="宋体"/>
          <w:bCs/>
          <w:color w:val="000000"/>
          <w:sz w:val="32"/>
          <w:szCs w:val="20"/>
        </w:rPr>
        <w:t xml:space="preserve">盐城立信造价工程师事务所有限公司</w:t>
      </w:r>
      <w:r/>
    </w:p>
    <w:p>
      <w:pPr>
        <w:pStyle w:val="682"/>
        <w:ind w:firstLine="0"/>
        <w:jc w:val="center"/>
        <w:spacing w:before="120" w:beforeAutospacing="0" w:after="120" w:afterAutospacing="0" w:line="360" w:lineRule="auto"/>
        <w:rPr>
          <w:rFonts w:ascii="宋体" w:hAnsi="Times New Roman" w:eastAsia="宋体"/>
          <w:bCs/>
          <w:color w:val="000000"/>
          <w:sz w:val="32"/>
          <w:szCs w:val="20"/>
        </w:rPr>
      </w:pPr>
      <w:r>
        <w:rPr>
          <w:rFonts w:hint="eastAsia" w:ascii="宋体" w:hAnsi="Times New Roman" w:eastAsia="宋体"/>
          <w:bCs/>
          <w:color w:val="000000"/>
          <w:sz w:val="32"/>
          <w:szCs w:val="20"/>
        </w:rPr>
        <w:t xml:space="preserve">2026年</w:t>
      </w:r>
      <w:r>
        <w:rPr>
          <w:rFonts w:hint="eastAsia" w:ascii="宋体" w:hAnsi="Times New Roman" w:eastAsia="宋体"/>
          <w:bCs/>
          <w:color w:val="000000"/>
          <w:sz w:val="32"/>
          <w:szCs w:val="20"/>
          <w:lang w:val="en-US" w:eastAsia="zh-CN"/>
        </w:rPr>
        <w:t xml:space="preserve">5</w:t>
      </w:r>
      <w:r>
        <w:rPr>
          <w:rFonts w:hint="eastAsia" w:ascii="宋体" w:hAnsi="Times New Roman" w:eastAsia="宋体"/>
          <w:bCs/>
          <w:color w:val="000000"/>
          <w:sz w:val="32"/>
          <w:szCs w:val="20"/>
        </w:rPr>
        <w:t xml:space="preserve">月</w:t>
      </w:r>
      <w:r/>
    </w:p>
    <w:p>
      <w:pPr>
        <w:pStyle w:val="682"/>
        <w:spacing w:before="120" w:beforeAutospacing="0" w:after="120" w:afterAutospacing="0" w:line="360" w:lineRule="auto"/>
      </w:pPr>
      <w:r>
        <w:rPr>
          <w:rFonts w:ascii="Arial" w:hAnsi="Arial" w:cs="Arial"/>
        </w:rPr>
        <w:t xml:space="preserve">                        </w:t>
      </w:r>
      <w:r/>
    </w:p>
    <w:p>
      <w:pPr>
        <w:pStyle w:val="682"/>
        <w:jc w:val="center"/>
        <w:spacing w:before="120" w:beforeAutospacing="0" w:after="120" w:afterAutospacing="0" w:line="360" w:lineRule="auto"/>
      </w:pPr>
      <w:r>
        <w:t xml:space="preserve"> </w:t>
      </w:r>
      <w:r/>
    </w:p>
    <w:p>
      <w:pPr>
        <w:ind w:firstLine="0"/>
        <w:jc w:val="center"/>
        <w:spacing w:line="480" w:lineRule="auto"/>
        <w:widowControl w:val="off"/>
        <w:rPr>
          <w:rFonts w:hint="eastAsia" w:ascii="宋体" w:hAnsi="宋体" w:eastAsia="宋体" w:cs="宋体"/>
          <w:b/>
          <w:bCs/>
          <w:color w:val="000000"/>
          <w:sz w:val="44"/>
          <w:szCs w:val="21"/>
        </w:rPr>
      </w:pPr>
      <w:r>
        <w:rPr>
          <w:rFonts w:ascii="Times New Roman" w:hAnsi="Times New Roman"/>
          <w:szCs w:val="21"/>
        </w:rPr>
        <w:br w:type="page" w:clear="all"/>
      </w:r>
      <w:bookmarkStart w:id="0" w:name="_Toc523127445"/>
      <w:r/>
      <w:bookmarkStart w:id="1" w:name="_Toc513029200"/>
      <w:r/>
      <w:bookmarkStart w:id="2" w:name="_Toc20823272"/>
      <w:r/>
      <w:bookmarkStart w:id="3" w:name="_Toc120614210"/>
      <w:r/>
      <w:bookmarkStart w:id="4" w:name="_Toc479757206"/>
      <w:r/>
      <w:bookmarkStart w:id="5" w:name="_Toc16938516"/>
      <w:r>
        <w:rPr>
          <w:rFonts w:hint="eastAsia" w:ascii="宋体" w:hAnsi="宋体" w:eastAsia="宋体" w:cs="宋体"/>
          <w:b/>
          <w:bCs/>
          <w:color w:val="000000"/>
          <w:sz w:val="44"/>
          <w:szCs w:val="21"/>
        </w:rPr>
        <w:t xml:space="preserve">总  目  录</w:t>
      </w:r>
      <w:bookmarkEnd w:id="0"/>
      <w:r/>
      <w:bookmarkEnd w:id="1"/>
      <w:r/>
      <w:bookmarkEnd w:id="2"/>
      <w:r/>
      <w:bookmarkEnd w:id="3"/>
      <w:r/>
      <w:bookmarkEnd w:id="4"/>
      <w:r/>
      <w:bookmarkEnd w:id="5"/>
      <w:r/>
      <w:r/>
    </w:p>
    <w:p>
      <w:pPr>
        <w:ind w:firstLine="0"/>
        <w:jc w:val="center"/>
        <w:spacing w:line="480" w:lineRule="auto"/>
        <w:widowControl w:val="off"/>
        <w:rPr>
          <w:rFonts w:hint="eastAsia" w:ascii="宋体" w:hAnsi="宋体" w:eastAsia="宋体" w:cs="宋体"/>
          <w:b/>
          <w:bCs/>
          <w:color w:val="000000"/>
          <w:sz w:val="44"/>
          <w:szCs w:val="21"/>
        </w:rPr>
      </w:pPr>
      <w:r>
        <w:rPr>
          <w:rFonts w:hint="eastAsia" w:ascii="宋体" w:hAnsi="宋体" w:eastAsia="宋体" w:cs="宋体"/>
          <w:b/>
          <w:bCs/>
          <w:color w:val="000000"/>
          <w:sz w:val="44"/>
          <w:szCs w:val="21"/>
        </w:rPr>
      </w:r>
      <w:r/>
    </w:p>
    <w:p>
      <w:pPr>
        <w:ind w:right="1015" w:firstLine="980"/>
        <w:spacing w:line="60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第一章  招标公告………………………………………1</w:t>
      </w:r>
      <w:r/>
    </w:p>
    <w:p>
      <w:pPr>
        <w:ind w:right="1015" w:firstLine="980"/>
        <w:spacing w:line="60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第二章  投标人须知……………………………………5  </w:t>
      </w:r>
      <w:r/>
    </w:p>
    <w:p>
      <w:pPr>
        <w:ind w:right="1015" w:firstLine="980"/>
        <w:spacing w:line="60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第三章  合同条款………………………………………22</w:t>
      </w:r>
      <w:r/>
    </w:p>
    <w:p>
      <w:pPr>
        <w:ind w:right="1015" w:firstLine="980"/>
        <w:spacing w:line="60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第四章  采购需求………………………………………43</w:t>
      </w:r>
      <w:r/>
    </w:p>
    <w:p>
      <w:pPr>
        <w:ind w:right="1015" w:firstLine="980"/>
        <w:spacing w:line="60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第五章  评标方法与评标标准…………………………66</w:t>
      </w:r>
      <w:r/>
    </w:p>
    <w:p>
      <w:pPr>
        <w:ind w:right="1015" w:firstLine="980"/>
        <w:spacing w:line="600" w:lineRule="auto"/>
        <w:widowControl w:val="off"/>
        <w:rPr>
          <w:rFonts w:hint="default" w:ascii="宋体" w:hAnsi="宋体" w:eastAsia="宋体" w:cs="宋体"/>
          <w:color w:val="000000"/>
          <w:sz w:val="28"/>
          <w:szCs w:val="28"/>
          <w:lang w:val="en-US" w:eastAsia="zh-CN"/>
        </w:rPr>
      </w:pPr>
      <w:r>
        <w:rPr>
          <w:rFonts w:hint="eastAsia" w:ascii="宋体" w:hAnsi="宋体" w:eastAsia="宋体" w:cs="宋体"/>
          <w:color w:val="000000"/>
          <w:sz w:val="28"/>
          <w:szCs w:val="28"/>
        </w:rPr>
        <w:t xml:space="preserve">第六章  投标文件格式…………………………………</w:t>
      </w:r>
      <w:r>
        <w:rPr>
          <w:rFonts w:hint="eastAsia" w:ascii="宋体" w:hAnsi="宋体" w:eastAsia="宋体" w:cs="宋体"/>
          <w:color w:val="000000"/>
          <w:sz w:val="28"/>
          <w:szCs w:val="28"/>
          <w:lang w:val="en-US" w:eastAsia="zh-CN"/>
        </w:rPr>
        <w:t xml:space="preserve">73</w:t>
      </w:r>
      <w:r/>
    </w:p>
    <w:p>
      <w:pPr>
        <w:pStyle w:val="682"/>
        <w:jc w:val="both"/>
        <w:spacing w:beforeAutospacing="0" w:afterAutospacing="0"/>
      </w:pPr>
      <w:r>
        <w:t xml:space="preserve"> </w:t>
      </w:r>
      <w:r/>
    </w:p>
    <w:p>
      <w:pPr>
        <w:pStyle w:val="682"/>
        <w:jc w:val="both"/>
        <w:spacing w:beforeAutospacing="0" w:afterAutospacing="0"/>
      </w:pPr>
      <w:r>
        <w:t xml:space="preserve"> </w:t>
      </w:r>
      <w:r/>
    </w:p>
    <w:p>
      <w:pPr>
        <w:pStyle w:val="682"/>
        <w:jc w:val="both"/>
        <w:spacing w:beforeAutospacing="0" w:afterAutospacing="0"/>
      </w:pPr>
      <w:r>
        <w:t xml:space="preserve"> </w:t>
      </w:r>
      <w:r/>
    </w:p>
    <w:p>
      <w:pPr>
        <w:pStyle w:val="682"/>
        <w:jc w:val="both"/>
        <w:spacing w:beforeAutospacing="0" w:afterAutospacing="0"/>
      </w:pPr>
      <w:r>
        <w:t xml:space="preserve"> </w:t>
      </w:r>
      <w:r/>
    </w:p>
    <w:p>
      <w:pPr>
        <w:pStyle w:val="682"/>
        <w:jc w:val="both"/>
        <w:spacing w:beforeAutospacing="0" w:afterAutospacing="0"/>
      </w:pPr>
      <w:r>
        <w:t xml:space="preserve"> </w:t>
      </w:r>
      <w:r/>
    </w:p>
    <w:p>
      <w:pPr>
        <w:pStyle w:val="682"/>
        <w:jc w:val="both"/>
        <w:spacing w:beforeAutospacing="0" w:afterAutospacing="0"/>
      </w:pPr>
      <w:r>
        <w:t xml:space="preserve"> </w:t>
      </w:r>
      <w:r/>
    </w:p>
    <w:p>
      <w:pPr>
        <w:pStyle w:val="682"/>
        <w:jc w:val="both"/>
        <w:spacing w:beforeAutospacing="0" w:afterAutospacing="0"/>
      </w:pPr>
      <w:r>
        <w:t xml:space="preserve"> </w:t>
      </w:r>
      <w:r/>
    </w:p>
    <w:p>
      <w:pPr>
        <w:pStyle w:val="682"/>
        <w:jc w:val="both"/>
        <w:spacing w:beforeAutospacing="0" w:afterAutospacing="0"/>
      </w:pPr>
      <w:r>
        <w:t xml:space="preserve"> </w:t>
      </w:r>
      <w:r/>
    </w:p>
    <w:p>
      <w:pPr>
        <w:pStyle w:val="682"/>
        <w:jc w:val="both"/>
        <w:spacing w:beforeAutospacing="0" w:afterAutospacing="0"/>
      </w:pPr>
      <w:r>
        <w:t xml:space="preserve"> </w:t>
      </w:r>
      <w:r/>
    </w:p>
    <w:p>
      <w:pPr>
        <w:pStyle w:val="682"/>
        <w:jc w:val="both"/>
        <w:spacing w:beforeAutospacing="0" w:afterAutospacing="0"/>
      </w:pPr>
      <w:r>
        <w:t xml:space="preserve"> </w:t>
      </w:r>
      <w:r/>
    </w:p>
    <w:p>
      <w:pPr>
        <w:pStyle w:val="682"/>
        <w:jc w:val="both"/>
        <w:spacing w:beforeAutospacing="0" w:afterAutospacing="0"/>
      </w:pPr>
      <w:r>
        <w:t xml:space="preserve"> </w:t>
      </w:r>
      <w:r/>
    </w:p>
    <w:p>
      <w:pPr>
        <w:pStyle w:val="682"/>
        <w:jc w:val="both"/>
        <w:spacing w:beforeAutospacing="0" w:afterAutospacing="0"/>
      </w:pPr>
      <w:r>
        <w:t xml:space="preserve"> </w:t>
      </w:r>
      <w:r/>
    </w:p>
    <w:p>
      <w:pPr>
        <w:pStyle w:val="682"/>
        <w:jc w:val="both"/>
        <w:spacing w:beforeAutospacing="0" w:afterAutospacing="0"/>
      </w:pPr>
      <w:r>
        <w:t xml:space="preserve"> </w:t>
      </w:r>
      <w:r/>
    </w:p>
    <w:p>
      <w:pPr>
        <w:pStyle w:val="682"/>
        <w:jc w:val="both"/>
        <w:spacing w:beforeAutospacing="0" w:afterAutospacing="0"/>
      </w:pPr>
      <w:r>
        <w:t xml:space="preserve"> </w:t>
      </w:r>
      <w:r/>
    </w:p>
    <w:p>
      <w:pPr>
        <w:pStyle w:val="682"/>
        <w:jc w:val="both"/>
        <w:spacing w:beforeAutospacing="0" w:afterAutospacing="0"/>
      </w:pPr>
      <w:r>
        <w:t xml:space="preserve"> </w:t>
      </w:r>
      <w:r/>
    </w:p>
    <w:p>
      <w:pPr>
        <w:pStyle w:val="682"/>
        <w:jc w:val="both"/>
        <w:spacing w:beforeAutospacing="0" w:afterAutospacing="0"/>
      </w:pPr>
      <w:r>
        <w:t xml:space="preserve"> </w:t>
      </w:r>
      <w:r/>
    </w:p>
    <w:p>
      <w:pPr>
        <w:pStyle w:val="682"/>
        <w:jc w:val="both"/>
        <w:spacing w:beforeAutospacing="0" w:afterAutospacing="0"/>
      </w:pPr>
      <w:r>
        <w:t xml:space="preserve"> </w:t>
      </w:r>
      <w:r/>
    </w:p>
    <w:p>
      <w:pPr>
        <w:pStyle w:val="682"/>
        <w:jc w:val="both"/>
        <w:spacing w:beforeAutospacing="0" w:afterAutospacing="0"/>
      </w:pPr>
      <w:r>
        <w:t xml:space="preserve"> </w:t>
      </w:r>
      <w:r/>
    </w:p>
    <w:p>
      <w:pPr>
        <w:pStyle w:val="682"/>
        <w:jc w:val="both"/>
        <w:spacing w:beforeAutospacing="0" w:afterAutospacing="0"/>
      </w:pPr>
      <w:r>
        <w:t xml:space="preserve"> </w:t>
      </w:r>
      <w:r/>
    </w:p>
    <w:p>
      <w:pPr>
        <w:pStyle w:val="682"/>
        <w:jc w:val="both"/>
        <w:spacing w:beforeAutospacing="0" w:afterAutospacing="0"/>
      </w:pPr>
      <w:r>
        <w:t xml:space="preserve"> </w:t>
      </w:r>
      <w:r/>
    </w:p>
    <w:p>
      <w:pPr>
        <w:pStyle w:val="682"/>
        <w:jc w:val="both"/>
        <w:spacing w:beforeAutospacing="0" w:afterAutospacing="0"/>
      </w:pPr>
      <w:r>
        <w:t xml:space="preserve"> </w:t>
      </w:r>
      <w:r/>
    </w:p>
    <w:p>
      <w:pPr>
        <w:pStyle w:val="682"/>
        <w:ind w:firstLine="440"/>
        <w:jc w:val="center"/>
        <w:keepNext/>
        <w:spacing w:beforeAutospacing="0" w:afterAutospacing="0"/>
        <w:sectPr>
          <w:footnotePr/>
          <w:endnotePr/>
          <w:type w:val="nextPage"/>
          <w:pgSz w:w="11906" w:h="16838" w:orient="portrait"/>
          <w:pgMar w:top="1134" w:right="1134" w:bottom="1134" w:left="1134" w:header="851" w:footer="992" w:gutter="0"/>
          <w:cols w:num="1" w:sep="0" w:space="425" w:equalWidth="1"/>
          <w:docGrid w:linePitch="360"/>
        </w:sectPr>
      </w:pPr>
      <w:r/>
      <w:r/>
    </w:p>
    <w:p>
      <w:pPr>
        <w:pStyle w:val="682"/>
        <w:ind w:firstLine="3360"/>
        <w:keepNext/>
        <w:spacing w:beforeAutospacing="0" w:afterAutospacing="0"/>
        <w:rPr>
          <w:rFonts w:ascii="方正小标宋_GBK" w:hAnsi="方正小标宋_GBK" w:eastAsia="方正小标宋_GBK" w:cs="方正小标宋_GBK"/>
          <w:sz w:val="44"/>
          <w:szCs w:val="44"/>
        </w:rPr>
        <w:outlineLvl w:val="0"/>
      </w:pPr>
      <w:r>
        <w:t xml:space="preserve"> </w:t>
      </w:r>
      <w:bookmarkStart w:id="6" w:name="_Toc28359086"/>
      <w:r>
        <w:rPr>
          <w:rFonts w:hint="eastAsia" w:ascii="方正小标宋_GBK" w:hAnsi="方正小标宋_GBK" w:eastAsia="方正小标宋_GBK" w:cs="方正小标宋_GBK"/>
          <w:color w:val="000000"/>
          <w:sz w:val="44"/>
          <w:szCs w:val="44"/>
        </w:rPr>
        <w:t xml:space="preserve">第一章  招标公告</w:t>
      </w:r>
      <w:r/>
    </w:p>
    <w:p>
      <w:pPr>
        <w:pStyle w:val="682"/>
        <w:ind w:firstLine="480"/>
        <w:jc w:val="both"/>
        <w:spacing w:beforeAutospacing="0" w:afterAutospacing="0" w:line="500" w:lineRule="exact"/>
        <w:widowControl w:val="off"/>
        <w:rPr>
          <w:rFonts w:hint="eastAsia" w:ascii="宋体" w:hAnsi="宋体" w:eastAsia="宋体" w:cs="宋体"/>
        </w:rPr>
        <w:pBdr>
          <w:top w:val="single" w:color="000000" w:sz="4" w:space="0"/>
          <w:left w:val="single" w:color="000000" w:sz="4" w:space="0"/>
          <w:bottom w:val="single" w:color="000000" w:sz="4" w:space="0"/>
          <w:right w:val="single" w:color="000000" w:sz="4" w:space="11"/>
        </w:pBdr>
      </w:pPr>
      <w:r>
        <w:rPr>
          <w:rFonts w:hint="eastAsia" w:ascii="宋体" w:hAnsi="宋体" w:eastAsia="宋体" w:cs="宋体"/>
          <w:color w:val="000000"/>
        </w:rPr>
        <w:t xml:space="preserve">项目概况</w:t>
      </w:r>
      <w:r/>
    </w:p>
    <w:p>
      <w:pPr>
        <w:pStyle w:val="682"/>
        <w:ind w:firstLine="480"/>
        <w:jc w:val="both"/>
        <w:spacing w:beforeAutospacing="0" w:afterAutospacing="0" w:line="500" w:lineRule="exact"/>
        <w:widowControl w:val="off"/>
        <w:rPr>
          <w:rFonts w:hint="eastAsia" w:ascii="宋体" w:hAnsi="宋体" w:eastAsia="宋体"/>
          <w:shd w:val="clear" w:color="auto" w:fill="ffffff" w:themeFill="background1"/>
        </w:rPr>
        <w:pBdr>
          <w:top w:val="single" w:color="000000" w:sz="4" w:space="0"/>
          <w:left w:val="single" w:color="000000" w:sz="4" w:space="0"/>
          <w:bottom w:val="single" w:color="000000" w:sz="4" w:space="0"/>
          <w:right w:val="single" w:color="000000" w:sz="4" w:space="11"/>
        </w:pBdr>
      </w:pPr>
      <w:r>
        <w:rPr>
          <w:rFonts w:hint="eastAsia" w:ascii="宋体" w:hAnsi="宋体" w:eastAsia="宋体"/>
          <w:shd w:val="clear" w:color="auto" w:fill="ffffff" w:themeFill="background1"/>
        </w:rPr>
        <w:t xml:space="preserve">新四军纪念馆馆藏文物预防性保护项目</w:t>
      </w:r>
      <w:r>
        <w:rPr>
          <w:rFonts w:hint="eastAsia" w:ascii="宋体" w:hAnsi="宋体" w:eastAsia="宋体"/>
          <w:shd w:val="clear" w:color="auto" w:fill="ffffff" w:themeFill="background1"/>
          <w:lang w:eastAsia="zh-CN"/>
        </w:rPr>
        <w:t xml:space="preserve">JSZC-320900-YCLX-G2026-0004</w:t>
      </w:r>
      <w:r>
        <w:rPr>
          <w:rFonts w:hint="eastAsia" w:ascii="宋体" w:hAnsi="宋体" w:eastAsia="宋体"/>
          <w:shd w:val="clear" w:color="auto" w:fill="ffffff" w:themeFill="background1"/>
        </w:rPr>
        <w:t xml:space="preserve">招标项目的潜在投标人应在“苏采云”系统内免费下载（投标人必须在苏采云系统中获取采购文件，方能参与政府采购项目）获取招标文件，并于</w:t>
      </w:r>
      <w:r>
        <w:rPr>
          <w:rFonts w:hint="eastAsia" w:ascii="宋体" w:hAnsi="宋体" w:eastAsia="宋体"/>
          <w:u w:val="single"/>
          <w:shd w:val="clear" w:color="auto" w:fill="ffffff" w:themeFill="background1"/>
        </w:rPr>
        <w:t xml:space="preserve">2026年</w:t>
      </w:r>
      <w:r>
        <w:rPr>
          <w:rFonts w:hint="eastAsia" w:ascii="宋体" w:hAnsi="宋体" w:eastAsia="宋体"/>
          <w:u w:val="single"/>
          <w:shd w:val="clear" w:color="auto" w:fill="ffffff" w:themeFill="background1"/>
          <w:lang w:val="en-US" w:eastAsia="zh-CN"/>
        </w:rPr>
        <w:t xml:space="preserve">6</w:t>
      </w:r>
      <w:r>
        <w:rPr>
          <w:rFonts w:hint="eastAsia" w:ascii="宋体" w:hAnsi="宋体" w:eastAsia="宋体"/>
          <w:u w:val="single"/>
          <w:shd w:val="clear" w:color="auto" w:fill="ffffff" w:themeFill="background1"/>
        </w:rPr>
        <w:t xml:space="preserve">月</w:t>
      </w:r>
      <w:r>
        <w:rPr>
          <w:rFonts w:hint="eastAsia" w:ascii="宋体" w:hAnsi="宋体" w:eastAsia="宋体"/>
          <w:u w:val="single"/>
          <w:shd w:val="clear" w:color="auto" w:fill="ffffff" w:themeFill="background1"/>
          <w:lang w:val="en-US" w:eastAsia="zh-CN"/>
        </w:rPr>
        <w:t xml:space="preserve">4</w:t>
      </w:r>
      <w:r>
        <w:rPr>
          <w:rFonts w:hint="eastAsia" w:ascii="宋体" w:hAnsi="宋体" w:eastAsia="宋体"/>
          <w:u w:val="single"/>
          <w:shd w:val="clear" w:color="auto" w:fill="ffffff" w:themeFill="background1"/>
        </w:rPr>
        <w:t xml:space="preserve">日09点00分</w:t>
      </w:r>
      <w:r>
        <w:rPr>
          <w:rFonts w:hint="eastAsia" w:ascii="宋体" w:hAnsi="宋体" w:eastAsia="宋体"/>
          <w:shd w:val="clear" w:color="auto" w:fill="ffffff" w:themeFill="background1"/>
        </w:rPr>
        <w:t xml:space="preserve">（北京时间）前递交投标文件。</w:t>
      </w:r>
      <w:r/>
    </w:p>
    <w:p>
      <w:pPr>
        <w:ind w:firstLine="723"/>
        <w:spacing w:line="500" w:lineRule="exact"/>
        <w:widowControl w:val="off"/>
        <w:rPr>
          <w:rFonts w:hint="eastAsia" w:ascii="宋体" w:hAnsi="宋体" w:eastAsia="宋体" w:cs="宋体"/>
          <w:sz w:val="24"/>
        </w:rPr>
      </w:pPr>
      <w:r>
        <w:rPr>
          <w:rFonts w:hint="eastAsia" w:ascii="宋体" w:hAnsi="宋体" w:cs="宋体"/>
          <w:b/>
          <w:bCs/>
          <w:sz w:val="24"/>
        </w:rPr>
        <w:t xml:space="preserve">一、项目基本情况</w:t>
      </w:r>
      <w:r/>
    </w:p>
    <w:p>
      <w:pPr>
        <w:ind w:firstLine="480"/>
        <w:spacing w:line="500" w:lineRule="exact"/>
        <w:widowControl w:val="off"/>
        <w:rPr>
          <w:rFonts w:hint="eastAsia" w:ascii="宋体" w:hAnsi="宋体" w:eastAsia="宋体"/>
          <w:sz w:val="24"/>
          <w:shd w:val="clear" w:color="auto" w:fill="ffffff" w:themeFill="background1"/>
          <w:lang w:eastAsia="zh-CN"/>
        </w:rPr>
      </w:pPr>
      <w:r/>
      <w:bookmarkStart w:id="7" w:name="OLE_LINK15"/>
      <w:r>
        <w:rPr>
          <w:rFonts w:hint="eastAsia" w:ascii="宋体" w:hAnsi="宋体" w:eastAsia="宋体"/>
          <w:sz w:val="24"/>
          <w:shd w:val="clear" w:color="auto" w:fill="ffffff" w:themeFill="background1"/>
        </w:rPr>
        <w:t xml:space="preserve">1.项目编号：</w:t>
      </w:r>
      <w:r>
        <w:rPr>
          <w:rFonts w:hint="eastAsia" w:ascii="宋体" w:hAnsi="宋体" w:eastAsia="宋体"/>
          <w:sz w:val="24"/>
          <w:shd w:val="clear" w:color="auto" w:fill="ffffff" w:themeFill="background1"/>
          <w:lang w:eastAsia="zh-CN"/>
        </w:rPr>
        <w:t xml:space="preserve">JSZC-320900-YCLX-G2026-0004</w:t>
      </w:r>
      <w:r/>
    </w:p>
    <w:p>
      <w:pPr>
        <w:ind w:firstLine="480"/>
        <w:spacing w:line="500" w:lineRule="exact"/>
        <w:widowControl w:val="off"/>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2.项目名称：新四军纪念馆馆藏文物预防性保护项目</w:t>
      </w:r>
      <w:r/>
    </w:p>
    <w:p>
      <w:pPr>
        <w:ind w:firstLine="480"/>
        <w:spacing w:line="500" w:lineRule="exact"/>
        <w:widowControl w:val="off"/>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3.采购方式：公开招标</w:t>
      </w:r>
      <w:r/>
    </w:p>
    <w:p>
      <w:pPr>
        <w:ind w:firstLine="480"/>
        <w:jc w:val="left"/>
        <w:spacing w:line="500" w:lineRule="exact"/>
        <w:widowControl w:val="off"/>
        <w:rPr>
          <w:rFonts w:hint="eastAsia" w:ascii="宋体" w:hAnsi="宋体" w:eastAsia="宋体"/>
          <w:sz w:val="24"/>
          <w:shd w:val="clear" w:color="auto" w:fill="ffffff" w:themeFill="background1"/>
          <w:lang w:eastAsia="zh-CN"/>
        </w:rPr>
      </w:pPr>
      <w:r>
        <w:rPr>
          <w:rFonts w:hint="eastAsia" w:ascii="宋体" w:hAnsi="宋体" w:eastAsia="宋体"/>
          <w:sz w:val="24"/>
          <w:shd w:val="clear" w:color="auto" w:fill="ffffff" w:themeFill="background1"/>
        </w:rPr>
        <w:t xml:space="preserve">4.预算金额：</w:t>
      </w:r>
      <w:r>
        <w:rPr>
          <w:rFonts w:hint="eastAsia" w:ascii="宋体" w:hAnsi="宋体" w:eastAsia="宋体"/>
          <w:sz w:val="24"/>
          <w:shd w:val="clear" w:color="auto" w:fill="ffffff" w:themeFill="background1"/>
          <w:lang w:eastAsia="zh-CN"/>
        </w:rPr>
        <w:t xml:space="preserve">268</w:t>
      </w:r>
      <w:r>
        <w:rPr>
          <w:rFonts w:hint="eastAsia" w:ascii="宋体" w:hAnsi="宋体" w:eastAsia="宋体"/>
          <w:sz w:val="24"/>
          <w:shd w:val="clear" w:color="auto" w:fill="ffffff" w:themeFill="background1"/>
          <w:lang w:val="en-US" w:eastAsia="zh-CN"/>
        </w:rPr>
        <w:t xml:space="preserve">.7</w:t>
      </w:r>
      <w:r>
        <w:rPr>
          <w:rFonts w:hint="eastAsia" w:ascii="宋体" w:hAnsi="宋体" w:eastAsia="宋体"/>
          <w:sz w:val="24"/>
          <w:shd w:val="clear" w:color="auto" w:fill="ffffff" w:themeFill="background1"/>
          <w:lang w:eastAsia="zh-CN"/>
        </w:rPr>
        <w:t xml:space="preserve">万元</w:t>
      </w:r>
      <w:r/>
    </w:p>
    <w:p>
      <w:pPr>
        <w:ind w:firstLine="480"/>
        <w:jc w:val="left"/>
        <w:spacing w:line="500" w:lineRule="exact"/>
        <w:widowControl w:val="off"/>
        <w:rPr>
          <w:rFonts w:hint="eastAsia" w:ascii="宋体" w:hAnsi="宋体" w:eastAsia="宋体"/>
          <w:sz w:val="24"/>
          <w:shd w:val="clear" w:color="auto" w:fill="ffffff" w:themeFill="background1"/>
          <w:lang w:eastAsia="zh-CN"/>
        </w:rPr>
      </w:pPr>
      <w:r>
        <w:rPr>
          <w:rFonts w:hint="eastAsia" w:ascii="宋体" w:hAnsi="宋体" w:eastAsia="宋体"/>
          <w:sz w:val="24"/>
          <w:shd w:val="clear" w:color="auto" w:fill="ffffff" w:themeFill="background1"/>
        </w:rPr>
        <w:t xml:space="preserve">5.最高限价（如有）：</w:t>
      </w:r>
      <w:bookmarkEnd w:id="7"/>
      <w:r>
        <w:rPr>
          <w:rFonts w:hint="eastAsia" w:ascii="宋体" w:hAnsi="宋体" w:eastAsia="宋体"/>
          <w:sz w:val="24"/>
          <w:shd w:val="clear" w:color="auto" w:fill="ffffff" w:themeFill="background1"/>
          <w:lang w:eastAsia="zh-CN"/>
        </w:rPr>
        <w:t xml:space="preserve">268</w:t>
      </w:r>
      <w:r>
        <w:rPr>
          <w:rFonts w:hint="eastAsia" w:ascii="宋体" w:hAnsi="宋体" w:eastAsia="宋体"/>
          <w:sz w:val="24"/>
          <w:shd w:val="clear" w:color="auto" w:fill="ffffff" w:themeFill="background1"/>
          <w:lang w:val="en-US" w:eastAsia="zh-CN"/>
        </w:rPr>
        <w:t xml:space="preserve">.7</w:t>
      </w:r>
      <w:r>
        <w:rPr>
          <w:rFonts w:hint="eastAsia" w:ascii="宋体" w:hAnsi="宋体" w:eastAsia="宋体"/>
          <w:sz w:val="24"/>
          <w:shd w:val="clear" w:color="auto" w:fill="ffffff" w:themeFill="background1"/>
          <w:lang w:eastAsia="zh-CN"/>
        </w:rPr>
        <w:t xml:space="preserve">万元</w:t>
      </w:r>
      <w:r/>
    </w:p>
    <w:p>
      <w:pPr>
        <w:ind w:firstLine="480"/>
        <w:spacing w:line="50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6.采购需求</w:t>
      </w:r>
      <w:bookmarkStart w:id="8" w:name="_Toc28359003"/>
      <w:r/>
      <w:bookmarkStart w:id="9" w:name="_Toc35393622"/>
      <w:r/>
      <w:bookmarkStart w:id="10" w:name="_Toc35393791"/>
      <w:r/>
      <w:bookmarkStart w:id="11" w:name="_Toc28359080"/>
      <w:r/>
      <w:bookmarkStart w:id="12" w:name="_Toc38985264"/>
      <w:r>
        <w:rPr>
          <w:rFonts w:hint="eastAsia" w:ascii="宋体" w:hAnsi="宋体" w:eastAsia="宋体"/>
          <w:sz w:val="24"/>
          <w:shd w:val="clear" w:color="auto" w:fill="ffffff" w:themeFill="background1"/>
        </w:rPr>
        <w:t xml:space="preserve">（简介）：针对新四军纪念馆展厅环境现状，依据相关规范和标准，通过提升改造文物展陈设施的密闭性，配置环境调控与电气安全模块，建设馆藏环境分布式智能监控系统等技术手段，为文物提供“稳定”、“洁净”的展出环境，实现文物长期健康保护的目的，促进文物保护事业的长久发展，提高文物科技保护的综合管理水平。（详细内容见本招标文件第四章）</w:t>
      </w:r>
      <w:r/>
    </w:p>
    <w:p>
      <w:pPr>
        <w:ind w:firstLine="480"/>
        <w:spacing w:line="500" w:lineRule="exact"/>
        <w:rPr>
          <w:rFonts w:hint="eastAsia" w:asciiTheme="minorEastAsia" w:hAnsiTheme="minorEastAsia" w:cstheme="minorEastAsia"/>
          <w:sz w:val="24"/>
          <w:shd w:val="clear" w:color="auto" w:fill="ffffff" w:themeFill="background1"/>
        </w:rPr>
      </w:pPr>
      <w:r>
        <w:rPr>
          <w:rFonts w:hint="eastAsia" w:ascii="宋体" w:hAnsi="宋体" w:eastAsia="宋体"/>
          <w:sz w:val="24"/>
          <w:shd w:val="clear" w:color="auto" w:fill="ffffff" w:themeFill="background1"/>
        </w:rPr>
        <w:t xml:space="preserve">7.</w:t>
      </w:r>
      <w:r>
        <w:rPr>
          <w:rFonts w:hint="eastAsia" w:asciiTheme="minorEastAsia" w:hAnsiTheme="minorEastAsia" w:cstheme="minorEastAsia"/>
          <w:sz w:val="24"/>
          <w:shd w:val="clear" w:color="auto" w:fill="ffffff" w:themeFill="background1"/>
        </w:rPr>
        <w:t xml:space="preserve">合同履行期限：合同签订后120天内完成所有设备的供货及安装调试。</w:t>
      </w:r>
      <w:r/>
    </w:p>
    <w:p>
      <w:pPr>
        <w:ind w:firstLine="480"/>
        <w:spacing w:line="500" w:lineRule="exact"/>
        <w:rPr>
          <w:rFonts w:hint="eastAsia" w:asciiTheme="minorEastAsia" w:hAnsiTheme="minorEastAsia" w:cstheme="minorEastAsia"/>
          <w:sz w:val="24"/>
          <w:shd w:val="clear" w:color="auto" w:fill="ffffff" w:themeFill="background1"/>
        </w:rPr>
      </w:pPr>
      <w:r>
        <w:rPr>
          <w:rFonts w:hint="eastAsia" w:ascii="宋体" w:hAnsi="宋体" w:eastAsia="宋体"/>
          <w:sz w:val="24"/>
          <w:shd w:val="clear" w:color="auto" w:fill="ffffff" w:themeFill="background1"/>
        </w:rPr>
        <w:t xml:space="preserve">8.</w:t>
      </w:r>
      <w:r>
        <w:rPr>
          <w:rFonts w:hint="eastAsia" w:asciiTheme="minorEastAsia" w:hAnsiTheme="minorEastAsia" w:cstheme="minorEastAsia"/>
          <w:sz w:val="24"/>
          <w:shd w:val="clear" w:color="auto" w:fill="ffffff" w:themeFill="background1"/>
        </w:rPr>
        <w:t xml:space="preserve">本项目（是/否）接受联合体投标：否</w:t>
      </w:r>
      <w:r/>
    </w:p>
    <w:p>
      <w:pPr>
        <w:ind w:firstLine="723"/>
        <w:spacing w:line="500" w:lineRule="exact"/>
        <w:widowControl w:val="off"/>
        <w:rPr>
          <w:rFonts w:hint="eastAsia" w:asciiTheme="minorEastAsia" w:hAnsiTheme="minorEastAsia" w:cstheme="minorEastAsia"/>
          <w:b/>
          <w:bCs/>
          <w:sz w:val="24"/>
        </w:rPr>
      </w:pPr>
      <w:r>
        <w:rPr>
          <w:rFonts w:hint="eastAsia" w:asciiTheme="minorEastAsia" w:hAnsiTheme="minorEastAsia" w:cstheme="minorEastAsia"/>
          <w:b/>
          <w:bCs/>
          <w:sz w:val="24"/>
        </w:rPr>
        <w:t xml:space="preserve">二、申请人的资格要求</w:t>
      </w:r>
      <w:bookmarkEnd w:id="8"/>
      <w:r/>
      <w:bookmarkEnd w:id="9"/>
      <w:r/>
      <w:bookmarkEnd w:id="10"/>
      <w:r/>
      <w:bookmarkEnd w:id="11"/>
      <w:r/>
      <w:bookmarkEnd w:id="12"/>
      <w:r/>
      <w:r/>
    </w:p>
    <w:p>
      <w:pPr>
        <w:pStyle w:val="682"/>
        <w:ind w:firstLine="480"/>
        <w:jc w:val="both"/>
        <w:spacing w:beforeAutospacing="0" w:afterAutospacing="0" w:line="500" w:lineRule="exact"/>
        <w:rPr>
          <w:rFonts w:hint="eastAsia" w:asciiTheme="minorEastAsia" w:hAnsiTheme="minorEastAsia" w:cstheme="minorEastAsia"/>
        </w:rPr>
      </w:pPr>
      <w:r>
        <w:rPr>
          <w:rFonts w:hint="eastAsia" w:asciiTheme="minorEastAsia" w:hAnsiTheme="minorEastAsia" w:cstheme="minorEastAsia"/>
          <w:color w:val="000000"/>
        </w:rPr>
        <w:t xml:space="preserve">（一）满足《中华人民共和国政府采购法》第二十二条规定，并提供下列材料：</w:t>
      </w:r>
      <w:r/>
    </w:p>
    <w:p>
      <w:pPr>
        <w:pStyle w:val="682"/>
        <w:ind w:firstLine="480"/>
        <w:jc w:val="both"/>
        <w:spacing w:beforeAutospacing="0" w:afterAutospacing="0" w:line="500" w:lineRule="exact"/>
        <w:rPr>
          <w:rFonts w:hint="eastAsia" w:asciiTheme="minorEastAsia" w:hAnsiTheme="minorEastAsia" w:cstheme="minorEastAsia"/>
        </w:rPr>
      </w:pPr>
      <w:r>
        <w:rPr>
          <w:rFonts w:hint="eastAsia" w:ascii="宋体" w:hAnsi="宋体" w:eastAsia="宋体" w:cstheme="minorBidi"/>
          <w:shd w:val="clear" w:color="auto" w:fill="ffffff" w:themeFill="background1"/>
        </w:rPr>
        <w:t xml:space="preserve">1.1</w:t>
      </w:r>
      <w:bookmarkStart w:id="13" w:name="OLE_LINK29"/>
      <w:r>
        <w:rPr>
          <w:rFonts w:hint="eastAsia" w:asciiTheme="minorEastAsia" w:hAnsiTheme="minorEastAsia" w:cstheme="minorEastAsia"/>
          <w:color w:val="000000"/>
        </w:rPr>
        <w:t xml:space="preserve">法人或者其他组织的营业执照等证明文件，自然人的身份证明。</w:t>
      </w:r>
      <w:bookmarkEnd w:id="13"/>
      <w:r/>
      <w:r/>
    </w:p>
    <w:p>
      <w:pPr>
        <w:pStyle w:val="682"/>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theme="minorBidi"/>
          <w:shd w:val="clear" w:color="auto" w:fill="ffffff" w:themeFill="background1"/>
        </w:rPr>
        <w:t xml:space="preserve">1.2</w:t>
      </w:r>
      <w:bookmarkStart w:id="14" w:name="OLE_LINK31"/>
      <w:r/>
      <w:bookmarkStart w:id="15" w:name="OLE_LINK8"/>
      <w:r/>
      <w:bookmarkStart w:id="16" w:name="OLE_LINK9"/>
      <w:r>
        <w:rPr>
          <w:rFonts w:hint="eastAsia" w:ascii="宋体" w:hAnsi="宋体" w:eastAsia="宋体" w:cs="宋体"/>
          <w:color w:val="000000"/>
        </w:rPr>
        <w:t xml:space="preserve">上一年度的财务状况报表（2025年财务状况表未出的，可使用2024年度报表，成立不满一年无需提供）。</w:t>
      </w:r>
      <w:bookmarkEnd w:id="14"/>
      <w:r/>
      <w:bookmarkEnd w:id="15"/>
      <w:r/>
      <w:bookmarkEnd w:id="16"/>
      <w:r/>
      <w:r/>
    </w:p>
    <w:p>
      <w:pPr>
        <w:pStyle w:val="682"/>
        <w:ind w:firstLine="480"/>
        <w:jc w:val="both"/>
        <w:spacing w:beforeAutospacing="0" w:afterAutospacing="0" w:line="500" w:lineRule="exact"/>
        <w:rPr>
          <w:rFonts w:hint="eastAsia" w:asciiTheme="minorEastAsia" w:hAnsiTheme="minorEastAsia" w:cstheme="minorEastAsia"/>
          <w:color w:val="000000"/>
        </w:rPr>
      </w:pPr>
      <w:r>
        <w:rPr>
          <w:rFonts w:hint="eastAsia" w:ascii="宋体" w:hAnsi="宋体" w:eastAsia="宋体" w:cstheme="minorBidi"/>
          <w:shd w:val="clear" w:color="auto" w:fill="ffffff" w:themeFill="background1"/>
        </w:rPr>
        <w:t xml:space="preserve">1.3</w:t>
      </w:r>
      <w:bookmarkStart w:id="17" w:name="OLE_LINK32"/>
      <w:r>
        <w:rPr>
          <w:rFonts w:hint="eastAsia" w:asciiTheme="minorEastAsia" w:hAnsiTheme="minorEastAsia" w:cstheme="minorEastAsia"/>
          <w:color w:val="000000"/>
        </w:rPr>
        <w:t xml:space="preserve">具备履行合同所必需的设备和专业技术能力的书面声明。</w:t>
      </w:r>
      <w:bookmarkEnd w:id="17"/>
      <w:r/>
      <w:r/>
    </w:p>
    <w:p>
      <w:pPr>
        <w:pStyle w:val="682"/>
        <w:ind w:firstLine="480"/>
        <w:jc w:val="both"/>
        <w:spacing w:beforeAutospacing="0" w:afterAutospacing="0" w:line="500" w:lineRule="exact"/>
        <w:rPr>
          <w:rFonts w:hint="eastAsia" w:asciiTheme="minorEastAsia" w:hAnsiTheme="minorEastAsia" w:cstheme="minorEastAsia"/>
        </w:rPr>
      </w:pPr>
      <w:r>
        <w:rPr>
          <w:rFonts w:hint="eastAsia" w:ascii="宋体" w:hAnsi="宋体" w:eastAsia="宋体" w:cstheme="minorBidi"/>
          <w:shd w:val="clear" w:color="auto" w:fill="ffffff" w:themeFill="background1"/>
        </w:rPr>
        <w:t xml:space="preserve">1.4</w:t>
      </w:r>
      <w:bookmarkStart w:id="18" w:name="OLE_LINK33"/>
      <w:r/>
      <w:bookmarkStart w:id="19" w:name="OLE_LINK38"/>
      <w:r>
        <w:rPr>
          <w:rFonts w:hint="eastAsia" w:asciiTheme="minorEastAsia" w:hAnsiTheme="minorEastAsia" w:cstheme="minorEastAsia"/>
          <w:color w:val="000000"/>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18"/>
      <w:r/>
      <w:bookmarkEnd w:id="19"/>
      <w:r/>
      <w:r/>
    </w:p>
    <w:p>
      <w:pPr>
        <w:pStyle w:val="682"/>
        <w:ind w:firstLine="480"/>
        <w:jc w:val="both"/>
        <w:spacing w:beforeAutospacing="0" w:afterAutospacing="0" w:line="500" w:lineRule="exact"/>
        <w:rPr>
          <w:rFonts w:hint="eastAsia" w:asciiTheme="minorEastAsia" w:hAnsiTheme="minorEastAsia" w:cstheme="minorEastAsia"/>
          <w:color w:val="000000"/>
        </w:rPr>
      </w:pPr>
      <w:r>
        <w:rPr>
          <w:rFonts w:hint="eastAsia" w:ascii="宋体" w:hAnsi="宋体" w:eastAsia="宋体" w:cstheme="minorBidi"/>
          <w:shd w:val="clear" w:color="auto" w:fill="ffffff" w:themeFill="background1"/>
        </w:rPr>
        <w:t xml:space="preserve">1.5</w:t>
      </w:r>
      <w:bookmarkStart w:id="20" w:name="OLE_LINK34"/>
      <w:r>
        <w:rPr>
          <w:rFonts w:hint="eastAsia" w:asciiTheme="minorEastAsia" w:hAnsiTheme="minorEastAsia" w:cstheme="minorEastAsia"/>
          <w:color w:val="000000"/>
        </w:rPr>
        <w:t xml:space="preserve">参加政府采购活动前3年内在经营活动中没有重大违法记录的书面声明。</w:t>
      </w:r>
      <w:bookmarkEnd w:id="20"/>
      <w:r/>
      <w:r/>
    </w:p>
    <w:p>
      <w:pPr>
        <w:pStyle w:val="682"/>
        <w:ind w:firstLine="480"/>
        <w:jc w:val="both"/>
        <w:spacing w:beforeAutospacing="0" w:afterAutospacing="0" w:line="500" w:lineRule="exact"/>
        <w:rPr>
          <w:rFonts w:hint="eastAsia" w:asciiTheme="minorEastAsia" w:hAnsiTheme="minorEastAsia" w:cstheme="minorEastAsia"/>
          <w:color w:val="000000"/>
        </w:rPr>
      </w:pPr>
      <w:r>
        <w:rPr>
          <w:rFonts w:hint="eastAsia" w:ascii="宋体" w:hAnsi="宋体" w:eastAsia="宋体" w:cstheme="minorBidi"/>
          <w:shd w:val="clear" w:color="auto" w:fill="ffffff" w:themeFill="background1"/>
        </w:rPr>
        <w:t xml:space="preserve">1.6</w:t>
      </w:r>
      <w:bookmarkStart w:id="21" w:name="OLE_LINK35"/>
      <w:r>
        <w:rPr>
          <w:rFonts w:hint="eastAsia" w:ascii="宋体" w:hAnsi="宋体" w:eastAsia="宋体" w:cstheme="minorBidi"/>
          <w:shd w:val="clear" w:color="auto" w:fill="ffffff" w:themeFill="background1"/>
        </w:rPr>
        <w:t xml:space="preserve">法</w:t>
      </w:r>
      <w:r>
        <w:rPr>
          <w:rFonts w:hint="eastAsia" w:asciiTheme="minorEastAsia" w:hAnsiTheme="minorEastAsia" w:cstheme="minorEastAsia"/>
          <w:color w:val="000000"/>
        </w:rPr>
        <w:t xml:space="preserve">律、行政法规规定的其他条件。</w:t>
      </w:r>
      <w:bookmarkEnd w:id="21"/>
      <w:r/>
      <w:r/>
    </w:p>
    <w:p>
      <w:pPr>
        <w:pStyle w:val="682"/>
        <w:ind w:firstLine="480"/>
        <w:jc w:val="both"/>
        <w:spacing w:beforeAutospacing="0" w:afterAutospacing="0" w:line="500" w:lineRule="exact"/>
        <w:rPr>
          <w:rFonts w:hint="eastAsia" w:asciiTheme="minorEastAsia" w:hAnsiTheme="minorEastAsia" w:cstheme="minorEastAsia"/>
          <w:color w:val="000000"/>
        </w:rPr>
      </w:pPr>
      <w:r/>
      <w:bookmarkStart w:id="22" w:name="OLE_LINK17"/>
      <w:r>
        <w:rPr>
          <w:rFonts w:hint="eastAsia" w:ascii="宋体" w:hAnsi="宋体" w:eastAsia="宋体" w:cstheme="minorBidi"/>
          <w:shd w:val="clear" w:color="auto" w:fill="ffffff" w:themeFill="background1"/>
        </w:rPr>
        <w:t xml:space="preserve">1.7</w:t>
      </w:r>
      <w:bookmarkStart w:id="23" w:name="OLE_LINK36"/>
      <w:r>
        <w:rPr>
          <w:rFonts w:hint="eastAsia" w:asciiTheme="minorEastAsia" w:hAnsiTheme="minorEastAsia" w:cstheme="minorEastAsia"/>
          <w:shd w:val="clear" w:color="auto" w:fill="ffffff" w:themeFill="background1"/>
        </w:rPr>
        <w:t xml:space="preserve">在“信用中国”网站查询，无被列入失信被执行人、重大税收违法案件当事人名单、政府采购严重失信行为记录名单及其他不符合《中华人民共和国政府采购法》第二十二条规定条件的信用记录。</w:t>
      </w:r>
      <w:bookmarkEnd w:id="22"/>
      <w:r/>
      <w:bookmarkEnd w:id="23"/>
      <w:r>
        <w:rPr>
          <w:rFonts w:hint="eastAsia" w:asciiTheme="minorEastAsia" w:hAnsiTheme="minorEastAsia" w:cstheme="minorEastAsia"/>
          <w:shd w:val="clear" w:color="auto" w:fill="ffffff" w:themeFill="background1"/>
        </w:rPr>
        <w:t xml:space="preserve">（响应文件中无需提供证明材料）</w:t>
      </w:r>
      <w:r/>
    </w:p>
    <w:p>
      <w:pPr>
        <w:pStyle w:val="682"/>
        <w:ind w:firstLine="480"/>
        <w:jc w:val="both"/>
        <w:spacing w:beforeAutospacing="0" w:afterAutospacing="0" w:line="500" w:lineRule="exact"/>
        <w:rPr>
          <w:rFonts w:hint="eastAsia" w:asciiTheme="minorEastAsia" w:hAnsiTheme="minorEastAsia" w:cstheme="minorEastAsia"/>
          <w:color w:val="000000"/>
        </w:rPr>
      </w:pPr>
      <w:r>
        <w:rPr>
          <w:rFonts w:hint="eastAsia" w:ascii="宋体" w:hAnsi="宋体" w:eastAsia="宋体" w:cstheme="minorBidi"/>
          <w:shd w:val="clear" w:color="auto" w:fill="ffffff" w:themeFill="background1"/>
        </w:rPr>
        <w:t xml:space="preserve">1.8</w:t>
      </w:r>
      <w:bookmarkStart w:id="24" w:name="OLE_LINK37"/>
      <w:r>
        <w:rPr>
          <w:rFonts w:hint="eastAsia" w:ascii="宋体" w:hAnsi="宋体" w:eastAsia="宋体" w:cstheme="minorBidi"/>
          <w:shd w:val="clear" w:color="auto" w:fill="ffffff" w:themeFill="background1"/>
        </w:rPr>
        <w:t xml:space="preserve">单</w:t>
      </w:r>
      <w:r>
        <w:rPr>
          <w:rFonts w:hint="eastAsia" w:asciiTheme="minorEastAsia" w:hAnsiTheme="minorEastAsia" w:cstheme="minorEastAsia"/>
          <w:color w:val="000000"/>
        </w:rPr>
        <w:t xml:space="preserve">位负责人为同一人或者存在直接控股、管理关系的不同供应商，不得参加同一合同项下的政府采购活动</w:t>
      </w:r>
      <w:bookmarkEnd w:id="24"/>
      <w:r>
        <w:rPr>
          <w:rFonts w:hint="eastAsia" w:asciiTheme="minorEastAsia" w:hAnsiTheme="minorEastAsia" w:cstheme="minorEastAsia"/>
          <w:color w:val="000000"/>
        </w:rPr>
        <w:t xml:space="preserve">。</w:t>
      </w:r>
      <w:r/>
    </w:p>
    <w:p>
      <w:pPr>
        <w:pStyle w:val="682"/>
        <w:ind w:firstLine="480"/>
        <w:jc w:val="both"/>
        <w:spacing w:beforeAutospacing="0" w:afterAutospacing="0" w:line="500" w:lineRule="exact"/>
        <w:rPr>
          <w:rFonts w:hint="eastAsia" w:asciiTheme="minorEastAsia" w:hAnsiTheme="minorEastAsia" w:cstheme="minorEastAsia"/>
          <w:color w:val="000000"/>
        </w:rPr>
      </w:pPr>
      <w:r>
        <w:rPr>
          <w:rFonts w:hint="eastAsia" w:asciiTheme="minorEastAsia" w:hAnsiTheme="minorEastAsia" w:cstheme="minorEastAsia"/>
          <w:color w:val="000000"/>
        </w:rPr>
        <w:t xml:space="preserve">（二）落实政府采购政策需满足的资格要求：</w:t>
      </w:r>
      <w:r/>
    </w:p>
    <w:p>
      <w:pPr>
        <w:ind w:firstLine="480"/>
        <w:spacing w:line="500" w:lineRule="exact"/>
        <w:rPr>
          <w:rFonts w:hint="eastAsia" w:asciiTheme="minorEastAsia" w:hAnsiTheme="minorEastAsia" w:cstheme="minorEastAsia"/>
          <w:sz w:val="24"/>
          <w:shd w:val="clear" w:color="auto" w:fill="ffffff" w:themeFill="background1"/>
        </w:rPr>
      </w:pPr>
      <w:r>
        <w:rPr>
          <w:rFonts w:hint="eastAsia" w:asciiTheme="minorEastAsia" w:hAnsiTheme="minorEastAsia" w:cstheme="minorEastAsia"/>
          <w:color w:val="000000"/>
          <w:sz w:val="24"/>
        </w:rPr>
        <w:t xml:space="preserve">本项目专门面向中小企业采购。采购标的的所属行业为工业，投标人需按照采购文件的要求提供相应的《中小企业声明函》。企业标准请参照《关于印发中小企业划型标准规定的通知》（工信部联企业[2011]300号）文件规定自行填写。</w:t>
      </w:r>
      <w:r/>
    </w:p>
    <w:p>
      <w:pPr>
        <w:pStyle w:val="682"/>
        <w:ind w:firstLine="480"/>
        <w:jc w:val="both"/>
        <w:spacing w:beforeAutospacing="0" w:afterAutospacing="0" w:line="500" w:lineRule="exact"/>
        <w:rPr>
          <w:rFonts w:hint="eastAsia" w:asciiTheme="minorEastAsia" w:hAnsiTheme="minorEastAsia" w:cstheme="minorEastAsia"/>
          <w:color w:val="000000"/>
        </w:rPr>
      </w:pPr>
      <w:r>
        <w:rPr>
          <w:rFonts w:hint="eastAsia" w:asciiTheme="minorEastAsia" w:hAnsiTheme="minorEastAsia" w:cstheme="minorEastAsia"/>
          <w:color w:val="000000"/>
        </w:rPr>
        <w:t xml:space="preserve">（三）</w:t>
      </w:r>
      <w:r>
        <w:rPr>
          <w:rFonts w:hint="eastAsia" w:asciiTheme="minorEastAsia" w:hAnsiTheme="minorEastAsia" w:cstheme="minorEastAsia"/>
          <w:bCs/>
          <w:color w:val="000000"/>
        </w:rPr>
        <w:t xml:space="preserve">本项目的特定资格要求：</w:t>
      </w:r>
      <w:r>
        <w:rPr>
          <w:rFonts w:hint="eastAsia" w:asciiTheme="minorEastAsia" w:hAnsiTheme="minorEastAsia" w:cstheme="minorEastAsia"/>
          <w:color w:val="000000"/>
        </w:rPr>
        <w:t xml:space="preserve">无</w:t>
      </w:r>
      <w:r/>
    </w:p>
    <w:p>
      <w:pPr>
        <w:spacing w:line="500" w:lineRule="exact"/>
        <w:widowControl w:val="off"/>
        <w:rPr>
          <w:rFonts w:hint="eastAsia" w:asciiTheme="minorEastAsia" w:hAnsiTheme="minorEastAsia" w:cstheme="minorEastAsia"/>
          <w:b/>
          <w:bCs/>
          <w:sz w:val="24"/>
        </w:rPr>
      </w:pPr>
      <w:r>
        <w:rPr>
          <w:rFonts w:hint="eastAsia" w:asciiTheme="minorEastAsia" w:hAnsiTheme="minorEastAsia" w:cstheme="minorEastAsia"/>
          <w:b/>
          <w:bCs/>
          <w:sz w:val="24"/>
        </w:rPr>
        <w:t xml:space="preserve">三、获取招标文件</w:t>
      </w:r>
      <w:r/>
    </w:p>
    <w:p>
      <w:pPr>
        <w:ind w:firstLine="480"/>
        <w:jc w:val="left"/>
        <w:spacing w:line="50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1.时间：自招标文件公告发布之日起5个工作日 。</w:t>
      </w:r>
      <w:r/>
    </w:p>
    <w:p>
      <w:pPr>
        <w:ind w:firstLine="480"/>
        <w:jc w:val="left"/>
        <w:spacing w:line="50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2.地点：“苏采云”系统内免费下载（投标人必须在苏采云系统中获取采购文件，方能参与政府采购项目）；</w:t>
      </w:r>
      <w:r/>
    </w:p>
    <w:p>
      <w:pPr>
        <w:ind w:firstLine="480"/>
        <w:jc w:val="left"/>
        <w:spacing w:line="50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3.方式：本项目采用网上注册登记方式。 </w:t>
      </w:r>
      <w:r/>
    </w:p>
    <w:p>
      <w:pPr>
        <w:ind w:firstLine="480"/>
        <w:jc w:val="left"/>
        <w:spacing w:line="500" w:lineRule="exact"/>
        <w:rPr>
          <w:rFonts w:hint="eastAsia" w:asciiTheme="minorEastAsia" w:hAnsiTheme="minorEastAsia" w:cstheme="minorEastAsia"/>
          <w:sz w:val="24"/>
        </w:rPr>
      </w:pPr>
      <w:r>
        <w:rPr>
          <w:rFonts w:hint="eastAsia" w:ascii="宋体" w:hAnsi="宋体" w:eastAsia="宋体"/>
          <w:sz w:val="24"/>
          <w:shd w:val="clear" w:color="auto" w:fill="ffffff" w:themeFill="background1"/>
        </w:rPr>
        <w:t xml:space="preserve">4.售价：0元</w:t>
      </w:r>
      <w:r/>
    </w:p>
    <w:p>
      <w:pPr>
        <w:spacing w:line="500" w:lineRule="exact"/>
        <w:widowControl w:val="off"/>
        <w:rPr>
          <w:rFonts w:hint="eastAsia" w:asciiTheme="minorEastAsia" w:hAnsiTheme="minorEastAsia" w:cstheme="minorEastAsia"/>
          <w:b/>
          <w:bCs/>
          <w:sz w:val="24"/>
        </w:rPr>
      </w:pPr>
      <w:r>
        <w:rPr>
          <w:rFonts w:hint="eastAsia" w:asciiTheme="minorEastAsia" w:hAnsiTheme="minorEastAsia" w:cstheme="minorEastAsia"/>
          <w:b/>
          <w:bCs/>
          <w:sz w:val="24"/>
        </w:rPr>
        <w:t xml:space="preserve">四、提交投标文件截止时间、开标时间和地点</w:t>
      </w:r>
      <w:r/>
    </w:p>
    <w:p>
      <w:pPr>
        <w:ind w:firstLine="480"/>
        <w:spacing w:line="500" w:lineRule="exact"/>
        <w:rPr>
          <w:rFonts w:hint="eastAsia" w:asciiTheme="minorEastAsia" w:hAnsiTheme="minorEastAsia" w:cstheme="minorEastAsia"/>
          <w:sz w:val="24"/>
          <w:shd w:val="clear" w:color="auto" w:fill="ffffff" w:themeFill="background1"/>
        </w:rPr>
      </w:pPr>
      <w:r>
        <w:rPr>
          <w:rFonts w:hint="eastAsia" w:ascii="宋体" w:hAnsi="宋体" w:eastAsia="宋体"/>
          <w:sz w:val="24"/>
          <w:shd w:val="clear" w:color="auto" w:fill="ffffff" w:themeFill="background1"/>
        </w:rPr>
        <w:t xml:space="preserve">1.</w:t>
      </w:r>
      <w:r>
        <w:rPr>
          <w:rFonts w:hint="eastAsia" w:asciiTheme="minorEastAsia" w:hAnsiTheme="minorEastAsia" w:cstheme="minorEastAsia"/>
          <w:sz w:val="24"/>
          <w:shd w:val="clear" w:color="auto" w:fill="ffffff" w:themeFill="background1"/>
        </w:rPr>
        <w:t xml:space="preserve">时间：2026年</w:t>
      </w:r>
      <w:r>
        <w:rPr>
          <w:rFonts w:hint="eastAsia" w:asciiTheme="minorEastAsia" w:hAnsiTheme="minorEastAsia" w:cstheme="minorEastAsia"/>
          <w:sz w:val="24"/>
          <w:shd w:val="clear" w:color="auto" w:fill="ffffff" w:themeFill="background1"/>
          <w:lang w:val="en-US" w:eastAsia="zh-CN"/>
        </w:rPr>
        <w:t xml:space="preserve">6</w:t>
      </w:r>
      <w:r>
        <w:rPr>
          <w:rFonts w:hint="eastAsia" w:asciiTheme="minorEastAsia" w:hAnsiTheme="minorEastAsia" w:cstheme="minorEastAsia"/>
          <w:sz w:val="24"/>
          <w:shd w:val="clear" w:color="auto" w:fill="ffffff" w:themeFill="background1"/>
        </w:rPr>
        <w:t xml:space="preserve">月</w:t>
      </w:r>
      <w:r>
        <w:rPr>
          <w:rFonts w:hint="eastAsia" w:asciiTheme="minorEastAsia" w:hAnsiTheme="minorEastAsia" w:cstheme="minorEastAsia"/>
          <w:sz w:val="24"/>
          <w:shd w:val="clear" w:color="auto" w:fill="ffffff" w:themeFill="background1"/>
          <w:lang w:val="en-US" w:eastAsia="zh-CN"/>
        </w:rPr>
        <w:t xml:space="preserve">4</w:t>
      </w:r>
      <w:r>
        <w:rPr>
          <w:rFonts w:hint="eastAsia" w:asciiTheme="minorEastAsia" w:hAnsiTheme="minorEastAsia" w:cstheme="minorEastAsia"/>
          <w:sz w:val="24"/>
          <w:shd w:val="clear" w:color="auto" w:fill="ffffff" w:themeFill="background1"/>
        </w:rPr>
        <w:t xml:space="preserve">日9:00（北京时间）</w:t>
      </w:r>
      <w:r/>
    </w:p>
    <w:p>
      <w:pPr>
        <w:pStyle w:val="682"/>
        <w:ind w:firstLine="480"/>
        <w:jc w:val="both"/>
        <w:spacing w:beforeAutospacing="0" w:afterAutospacing="0" w:line="500" w:lineRule="exact"/>
        <w:rPr>
          <w:rFonts w:hint="eastAsia" w:asciiTheme="minorEastAsia" w:hAnsiTheme="minorEastAsia" w:cstheme="minorEastAsia"/>
        </w:rPr>
      </w:pPr>
      <w:r>
        <w:rPr>
          <w:rFonts w:hint="eastAsia" w:ascii="宋体" w:hAnsi="宋体" w:eastAsia="宋体" w:cstheme="minorBidi"/>
          <w:shd w:val="clear" w:color="auto" w:fill="ffffff" w:themeFill="background1"/>
        </w:rPr>
        <w:t xml:space="preserve">2.</w:t>
      </w:r>
      <w:r>
        <w:rPr>
          <w:rFonts w:hint="eastAsia" w:asciiTheme="minorEastAsia" w:hAnsiTheme="minorEastAsia" w:cstheme="minorEastAsia"/>
          <w:color w:val="000000"/>
        </w:rPr>
        <w:t xml:space="preserve">地点：苏采云“不见面”开标大厅 。</w:t>
      </w:r>
      <w:r/>
    </w:p>
    <w:p>
      <w:pPr>
        <w:spacing w:line="500" w:lineRule="exact"/>
        <w:widowControl w:val="off"/>
        <w:rPr>
          <w:rFonts w:hint="eastAsia" w:asciiTheme="minorEastAsia" w:hAnsiTheme="minorEastAsia" w:cstheme="minorEastAsia"/>
          <w:b/>
          <w:bCs/>
          <w:sz w:val="24"/>
        </w:rPr>
      </w:pPr>
      <w:r/>
      <w:bookmarkStart w:id="25" w:name="_Toc28359007"/>
      <w:r/>
      <w:bookmarkStart w:id="26" w:name="_Toc38985267"/>
      <w:r/>
      <w:bookmarkStart w:id="27" w:name="_Toc35393794"/>
      <w:r/>
      <w:bookmarkStart w:id="28" w:name="_Toc28359084"/>
      <w:r/>
      <w:bookmarkStart w:id="29" w:name="_Toc35393625"/>
      <w:r>
        <w:rPr>
          <w:rFonts w:hint="eastAsia" w:asciiTheme="minorEastAsia" w:hAnsiTheme="minorEastAsia" w:cstheme="minorEastAsia"/>
          <w:b/>
          <w:bCs/>
          <w:sz w:val="24"/>
        </w:rPr>
        <w:t xml:space="preserve">五、公告期限</w:t>
      </w:r>
      <w:bookmarkEnd w:id="25"/>
      <w:r/>
      <w:bookmarkEnd w:id="26"/>
      <w:r/>
      <w:bookmarkEnd w:id="27"/>
      <w:r/>
      <w:bookmarkEnd w:id="28"/>
      <w:r/>
      <w:bookmarkEnd w:id="29"/>
      <w:r/>
      <w:r/>
    </w:p>
    <w:p>
      <w:pPr>
        <w:ind w:firstLine="480"/>
        <w:spacing w:line="500" w:lineRule="exact"/>
        <w:rPr>
          <w:rFonts w:hint="eastAsia" w:asciiTheme="minorEastAsia" w:hAnsiTheme="minorEastAsia" w:cstheme="minorEastAsia"/>
          <w:sz w:val="24"/>
          <w:shd w:val="clear" w:color="auto" w:fill="ffffff" w:themeFill="background1"/>
        </w:rPr>
      </w:pPr>
      <w:r/>
      <w:bookmarkStart w:id="30" w:name="_Toc38985268"/>
      <w:r/>
      <w:bookmarkStart w:id="31" w:name="_Toc35393626"/>
      <w:r/>
      <w:bookmarkStart w:id="32" w:name="_Toc35393795"/>
      <w:r>
        <w:rPr>
          <w:rFonts w:hint="eastAsia" w:asciiTheme="minorEastAsia" w:hAnsiTheme="minorEastAsia" w:cstheme="minorEastAsia"/>
          <w:sz w:val="24"/>
          <w:shd w:val="clear" w:color="auto" w:fill="ffffff" w:themeFill="background1"/>
        </w:rPr>
        <w:t xml:space="preserve">自本公告发布之日起5个工作日。</w:t>
      </w:r>
      <w:bookmarkEnd w:id="30"/>
      <w:r/>
      <w:bookmarkEnd w:id="31"/>
      <w:r/>
      <w:bookmarkEnd w:id="32"/>
      <w:r/>
      <w:r/>
    </w:p>
    <w:p>
      <w:pPr>
        <w:spacing w:line="500" w:lineRule="exact"/>
        <w:widowControl w:val="off"/>
        <w:rPr>
          <w:rFonts w:hint="eastAsia" w:asciiTheme="minorEastAsia" w:hAnsiTheme="minorEastAsia" w:cstheme="minorEastAsia"/>
          <w:b/>
          <w:bCs/>
          <w:sz w:val="24"/>
        </w:rPr>
      </w:pPr>
      <w:r>
        <w:rPr>
          <w:rFonts w:hint="eastAsia" w:asciiTheme="minorEastAsia" w:hAnsiTheme="minorEastAsia" w:cstheme="minorEastAsia"/>
          <w:b/>
          <w:bCs/>
          <w:sz w:val="24"/>
        </w:rPr>
        <w:t xml:space="preserve">六、其他补充事宜</w:t>
      </w:r>
      <w:r/>
    </w:p>
    <w:p>
      <w:pPr>
        <w:spacing w:line="500" w:lineRule="exact"/>
        <w:widowControl w:val="off"/>
        <w:rPr>
          <w:rFonts w:hint="eastAsia" w:asciiTheme="minorEastAsia" w:hAnsiTheme="minorEastAsia" w:cstheme="minorEastAsia"/>
          <w:sz w:val="24"/>
        </w:rPr>
      </w:pPr>
      <w:r/>
      <w:bookmarkStart w:id="33" w:name="_Toc28359018"/>
      <w:r>
        <w:rPr>
          <w:rFonts w:hint="eastAsia" w:asciiTheme="minorEastAsia" w:hAnsiTheme="minorEastAsia" w:cstheme="minorEastAsia"/>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spacing w:line="500" w:lineRule="exact"/>
        <w:widowControl w:val="off"/>
        <w:rPr>
          <w:rFonts w:hint="eastAsia" w:asciiTheme="minorEastAsia" w:hAnsiTheme="minorEastAsia" w:cstheme="minorEastAsia"/>
          <w:sz w:val="24"/>
        </w:rPr>
      </w:pPr>
      <w:r>
        <w:rPr>
          <w:rFonts w:hint="eastAsia" w:asciiTheme="minorEastAsia" w:hAnsiTheme="minorEastAsia" w:cstheme="minorEastAsia"/>
          <w:sz w:val="24"/>
        </w:rPr>
        <w:t xml:space="preserve">领取CA和办理电子签章（</w:t>
      </w:r>
      <w:r>
        <w:rPr>
          <w:rFonts w:hint="eastAsia" w:asciiTheme="minorEastAsia" w:hAnsiTheme="minorEastAsia" w:cstheme="minorEastAsia"/>
          <w:color w:val="ff0000"/>
          <w:sz w:val="24"/>
        </w:rPr>
        <w:t xml:space="preserve">请至盐城市盐都区府西路1号盐城市政务服务中心4楼盐城市公共资源交易中心10号、11号窗口办理</w:t>
      </w:r>
      <w:r>
        <w:rPr>
          <w:rFonts w:hint="eastAsia" w:asciiTheme="minorEastAsia" w:hAnsiTheme="minorEastAsia" w:cstheme="minorEastAsia"/>
          <w:sz w:val="24"/>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spacing w:line="500" w:lineRule="exact"/>
        <w:widowControl w:val="off"/>
        <w:rPr>
          <w:rFonts w:hint="eastAsia" w:asciiTheme="minorEastAsia" w:hAnsiTheme="minorEastAsia" w:cstheme="minorEastAsia"/>
          <w:sz w:val="24"/>
        </w:rPr>
      </w:pPr>
      <w:r>
        <w:rPr>
          <w:rFonts w:hint="eastAsia" w:asciiTheme="minorEastAsia" w:hAnsiTheme="minorEastAsia" w:cstheme="minorEastAsia"/>
          <w:sz w:val="24"/>
        </w:rPr>
        <w:t xml:space="preserve">2. 潜在供应商访问电子招标响应交易平台的网络地址和方法： </w:t>
      </w:r>
      <w:r/>
    </w:p>
    <w:p>
      <w:pPr>
        <w:spacing w:line="500" w:lineRule="exact"/>
        <w:widowControl w:val="off"/>
        <w:rPr>
          <w:rFonts w:hint="eastAsia" w:asciiTheme="minorEastAsia" w:hAnsiTheme="minorEastAsia" w:cstheme="minorEastAsia"/>
          <w:sz w:val="24"/>
        </w:rPr>
      </w:pPr>
      <w:r>
        <w:rPr>
          <w:rFonts w:hint="eastAsia" w:asciiTheme="minorEastAsia" w:hAnsiTheme="minorEastAsia" w:cstheme="minorEastAsia"/>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spacing w:line="500" w:lineRule="exact"/>
        <w:widowControl w:val="off"/>
        <w:rPr>
          <w:rFonts w:hint="eastAsia" w:asciiTheme="minorEastAsia" w:hAnsiTheme="minorEastAsia" w:cstheme="minorEastAsia"/>
          <w:sz w:val="24"/>
        </w:rPr>
      </w:pPr>
      <w:r>
        <w:rPr>
          <w:rFonts w:hint="eastAsia" w:asciiTheme="minorEastAsia" w:hAnsiTheme="minorEastAsia" w:cstheme="minorEastAsia"/>
          <w:sz w:val="24"/>
        </w:rPr>
        <w:t xml:space="preserve">2.2 潜在投标人访问“苏采云”系统方法：江苏省政府采购网首页-“苏采云”链接。 </w:t>
      </w:r>
      <w:r/>
    </w:p>
    <w:p>
      <w:pPr>
        <w:spacing w:line="500" w:lineRule="exact"/>
        <w:widowControl w:val="off"/>
        <w:rPr>
          <w:rFonts w:hint="eastAsia" w:asciiTheme="minorEastAsia" w:hAnsiTheme="minorEastAsia" w:cstheme="minorEastAsia"/>
          <w:sz w:val="24"/>
        </w:rPr>
      </w:pPr>
      <w:r>
        <w:rPr>
          <w:rFonts w:hint="eastAsia" w:asciiTheme="minorEastAsia" w:hAnsiTheme="minorEastAsia" w:cstheme="minorEastAsia"/>
          <w:sz w:val="24"/>
        </w:rPr>
        <w:t xml:space="preserve">2.3 采购文件（后缀名为“.kedt”）、供应商操作手册及政府采购客户端 工具可通过“苏采云”系统相应链接进行下载。 </w:t>
      </w:r>
      <w:r/>
    </w:p>
    <w:p>
      <w:pPr>
        <w:spacing w:line="500" w:lineRule="exact"/>
        <w:widowControl w:val="off"/>
        <w:rPr>
          <w:rFonts w:hint="eastAsia" w:asciiTheme="minorEastAsia" w:hAnsiTheme="minorEastAsia" w:cstheme="minorEastAsia"/>
          <w:sz w:val="24"/>
        </w:rPr>
      </w:pPr>
      <w:r>
        <w:rPr>
          <w:rFonts w:hint="eastAsia" w:asciiTheme="minorEastAsia" w:hAnsiTheme="minorEastAsia" w:cstheme="minorEastAsia"/>
          <w:sz w:val="24"/>
        </w:rPr>
        <w:t xml:space="preserve">2.4 采购代理机构将数据电文形式的采购文件加载至“苏采云”系统，供潜在供应商下载或者查阅。 </w:t>
      </w:r>
      <w:r/>
    </w:p>
    <w:p>
      <w:pPr>
        <w:spacing w:line="500" w:lineRule="exact"/>
        <w:widowControl w:val="off"/>
        <w:rPr>
          <w:rFonts w:hint="eastAsia" w:asciiTheme="minorEastAsia" w:hAnsiTheme="minorEastAsia" w:cstheme="minorEastAsia"/>
          <w:sz w:val="24"/>
        </w:rPr>
      </w:pPr>
      <w:r>
        <w:rPr>
          <w:rFonts w:hint="eastAsia" w:asciiTheme="minorEastAsia" w:hAnsiTheme="minorEastAsia" w:cstheme="minorEastAsia"/>
          <w:sz w:val="24"/>
        </w:rPr>
        <w:t xml:space="preserve">2.5 请潜在投标单位提前安装相应的控件（详见《“苏采云”系统供应商操作手册》）并使用谷歌浏览器登录“苏采云”系统参与不见面开评标。 </w:t>
      </w:r>
      <w:r/>
    </w:p>
    <w:p>
      <w:pPr>
        <w:spacing w:line="500" w:lineRule="exact"/>
        <w:widowControl w:val="off"/>
        <w:rPr>
          <w:rFonts w:hint="eastAsia" w:asciiTheme="minorEastAsia" w:hAnsiTheme="minorEastAsia" w:cstheme="minorEastAsia"/>
          <w:sz w:val="24"/>
        </w:rPr>
      </w:pPr>
      <w:r>
        <w:rPr>
          <w:rFonts w:hint="eastAsia" w:asciiTheme="minorEastAsia" w:hAnsiTheme="minorEastAsia" w:cstheme="minorEastAsia"/>
          <w:sz w:val="24"/>
        </w:rPr>
        <w:t xml:space="preserve">如潜在投标人未按上述要求操作，将自行承担所产生的风险。</w:t>
      </w:r>
      <w:r/>
    </w:p>
    <w:p>
      <w:pPr>
        <w:spacing w:line="500" w:lineRule="exact"/>
        <w:widowControl w:val="off"/>
        <w:rPr>
          <w:rFonts w:hint="eastAsia" w:asciiTheme="minorEastAsia" w:hAnsiTheme="minorEastAsia" w:cstheme="minorEastAsia"/>
          <w:sz w:val="24"/>
        </w:rPr>
      </w:pPr>
      <w:r>
        <w:rPr>
          <w:rFonts w:hint="eastAsia" w:asciiTheme="minorEastAsia" w:hAnsiTheme="minorEastAsia" w:cstheme="minorEastAsia"/>
          <w:sz w:val="24"/>
        </w:rPr>
        <w:t xml:space="preserve">3.有关本次招标的事项若存在变动或修改，敬请及时关注采购代理机构在“中国政府采购网”“江苏政府采购网”“盐城市政府采购网”发布的更正公告。</w:t>
      </w:r>
      <w:r/>
    </w:p>
    <w:p>
      <w:pPr>
        <w:spacing w:line="500" w:lineRule="exact"/>
        <w:widowControl w:val="off"/>
        <w:rPr>
          <w:rFonts w:hint="eastAsia" w:asciiTheme="minorEastAsia" w:hAnsiTheme="minorEastAsia" w:cstheme="minorEastAsia"/>
          <w:sz w:val="24"/>
        </w:rPr>
      </w:pPr>
      <w:r>
        <w:rPr>
          <w:rFonts w:hint="eastAsia" w:asciiTheme="minorEastAsia" w:hAnsiTheme="minorEastAsia" w:cstheme="minorEastAsia"/>
          <w:sz w:val="24"/>
        </w:rPr>
        <w:t xml:space="preserve">4.本次招标不收取投标保证金，不收取质量保证金。</w:t>
      </w:r>
      <w:r/>
    </w:p>
    <w:p>
      <w:pPr>
        <w:spacing w:line="500" w:lineRule="exact"/>
        <w:widowControl w:val="off"/>
        <w:rPr>
          <w:rFonts w:hint="eastAsia" w:asciiTheme="minorEastAsia" w:hAnsiTheme="minorEastAsia" w:cstheme="minorEastAsia"/>
          <w:b/>
          <w:bCs/>
          <w:sz w:val="24"/>
        </w:rPr>
      </w:pPr>
      <w:r>
        <w:rPr>
          <w:rFonts w:hint="eastAsia" w:asciiTheme="minorEastAsia" w:hAnsiTheme="minorEastAsia" w:cstheme="minorEastAsia"/>
          <w:b/>
          <w:bCs/>
          <w:sz w:val="24"/>
        </w:rPr>
        <w:t xml:space="preserve">七、对本次招标提出询问，请按以下方式联系</w:t>
      </w:r>
      <w:bookmarkEnd w:id="33"/>
      <w:r/>
      <w:r/>
    </w:p>
    <w:p>
      <w:pPr>
        <w:ind w:firstLine="480"/>
        <w:spacing w:line="500" w:lineRule="exact"/>
        <w:rPr>
          <w:rFonts w:hint="eastAsia" w:asciiTheme="minorEastAsia" w:hAnsiTheme="minorEastAsia" w:cstheme="minorEastAsia"/>
          <w:sz w:val="24"/>
          <w:shd w:val="clear" w:color="auto" w:fill="ffffff" w:themeFill="background1"/>
        </w:rPr>
      </w:pPr>
      <w:r>
        <w:rPr>
          <w:rFonts w:hint="eastAsia" w:ascii="宋体" w:hAnsi="宋体" w:eastAsia="宋体"/>
          <w:sz w:val="24"/>
          <w:shd w:val="clear" w:color="auto" w:fill="ffffff" w:themeFill="background1"/>
        </w:rPr>
        <w:t xml:space="preserve">1.</w:t>
      </w:r>
      <w:r>
        <w:rPr>
          <w:rFonts w:hint="eastAsia" w:asciiTheme="minorEastAsia" w:hAnsiTheme="minorEastAsia" w:cstheme="minorEastAsia"/>
          <w:sz w:val="24"/>
          <w:shd w:val="clear" w:color="auto" w:fill="ffffff" w:themeFill="background1"/>
        </w:rPr>
        <w:t xml:space="preserve">采购人信息</w:t>
      </w:r>
      <w:r/>
    </w:p>
    <w:p>
      <w:pPr>
        <w:ind w:firstLine="480"/>
        <w:spacing w:line="500" w:lineRule="exact"/>
        <w:rPr>
          <w:rFonts w:hint="eastAsia" w:asciiTheme="minorEastAsia" w:hAnsiTheme="minorEastAsia" w:cstheme="minorEastAsia"/>
          <w:sz w:val="24"/>
          <w:shd w:val="clear" w:color="auto" w:fill="ffffff" w:themeFill="background1"/>
        </w:rPr>
      </w:pPr>
      <w:r>
        <w:rPr>
          <w:rFonts w:hint="eastAsia" w:asciiTheme="minorEastAsia" w:hAnsiTheme="minorEastAsia" w:cstheme="minorEastAsia"/>
          <w:sz w:val="24"/>
          <w:shd w:val="clear" w:color="auto" w:fill="ffffff" w:themeFill="background1"/>
        </w:rPr>
        <w:t xml:space="preserve">名 称：新四军纪念馆</w:t>
      </w:r>
      <w:r/>
    </w:p>
    <w:p>
      <w:pPr>
        <w:ind w:firstLine="480"/>
        <w:spacing w:line="500" w:lineRule="exact"/>
        <w:rPr>
          <w:rFonts w:hint="eastAsia" w:asciiTheme="minorEastAsia" w:hAnsiTheme="minorEastAsia" w:cstheme="minorEastAsia"/>
          <w:sz w:val="24"/>
          <w:shd w:val="clear" w:color="auto" w:fill="ffffff" w:themeFill="background1"/>
        </w:rPr>
      </w:pPr>
      <w:r>
        <w:rPr>
          <w:rFonts w:hint="eastAsia" w:asciiTheme="minorEastAsia" w:hAnsiTheme="minorEastAsia" w:cstheme="minorEastAsia"/>
          <w:sz w:val="24"/>
          <w:shd w:val="clear" w:color="auto" w:fill="ffffff" w:themeFill="background1"/>
        </w:rPr>
        <w:t xml:space="preserve">地址：盐城市建军东路159号</w:t>
      </w:r>
      <w:r/>
    </w:p>
    <w:p>
      <w:pPr>
        <w:ind w:firstLine="480"/>
        <w:spacing w:line="500" w:lineRule="exact"/>
        <w:rPr>
          <w:rFonts w:hint="eastAsia" w:asciiTheme="minorEastAsia" w:hAnsiTheme="minorEastAsia" w:eastAsiaTheme="minorEastAsia" w:cstheme="minorEastAsia"/>
          <w:sz w:val="24"/>
          <w:shd w:val="clear" w:color="auto" w:fill="ffffff" w:themeFill="background1"/>
          <w:lang w:eastAsia="zh-CN"/>
        </w:rPr>
      </w:pPr>
      <w:r>
        <w:rPr>
          <w:rFonts w:hint="eastAsia" w:asciiTheme="minorEastAsia" w:hAnsiTheme="minorEastAsia" w:cstheme="minorEastAsia"/>
          <w:sz w:val="24"/>
          <w:shd w:val="clear" w:color="auto" w:fill="ffffff" w:themeFill="background1"/>
        </w:rPr>
        <w:t xml:space="preserve">联系人：</w:t>
      </w:r>
      <w:r>
        <w:rPr>
          <w:rFonts w:hint="eastAsia" w:asciiTheme="minorEastAsia" w:hAnsiTheme="minorEastAsia" w:cstheme="minorEastAsia"/>
          <w:sz w:val="24"/>
          <w:shd w:val="clear" w:color="auto" w:fill="ffffff" w:themeFill="background1"/>
          <w:lang w:eastAsia="zh-CN"/>
        </w:rPr>
        <w:t xml:space="preserve">盛先生</w:t>
      </w:r>
      <w:r/>
    </w:p>
    <w:p>
      <w:pPr>
        <w:ind w:firstLine="480"/>
        <w:spacing w:line="500" w:lineRule="exact"/>
        <w:rPr>
          <w:rFonts w:hint="eastAsia" w:asciiTheme="minorEastAsia" w:hAnsiTheme="minorEastAsia" w:eastAsiaTheme="minorEastAsia" w:cstheme="minorEastAsia"/>
          <w:sz w:val="24"/>
          <w:shd w:val="clear" w:color="auto" w:fill="ffffff" w:themeFill="background1"/>
          <w:lang w:eastAsia="zh-CN"/>
        </w:rPr>
      </w:pPr>
      <w:r>
        <w:rPr>
          <w:rFonts w:hint="eastAsia" w:asciiTheme="minorEastAsia" w:hAnsiTheme="minorEastAsia" w:cstheme="minorEastAsia"/>
          <w:sz w:val="24"/>
          <w:shd w:val="clear" w:color="auto" w:fill="ffffff" w:themeFill="background1"/>
        </w:rPr>
        <w:t xml:space="preserve">联系方式：</w:t>
      </w:r>
      <w:r>
        <w:rPr>
          <w:rFonts w:hint="eastAsia" w:asciiTheme="minorEastAsia" w:hAnsiTheme="minorEastAsia" w:cstheme="minorEastAsia"/>
          <w:sz w:val="24"/>
          <w:shd w:val="clear" w:color="auto" w:fill="ffffff" w:themeFill="background1"/>
          <w:lang w:eastAsia="zh-CN"/>
        </w:rPr>
        <w:t xml:space="preserve">18795489153</w:t>
      </w:r>
      <w:r/>
    </w:p>
    <w:p>
      <w:pPr>
        <w:ind w:firstLine="480"/>
        <w:spacing w:line="500" w:lineRule="exact"/>
        <w:rPr>
          <w:rFonts w:hint="eastAsia" w:asciiTheme="minorEastAsia" w:hAnsiTheme="minorEastAsia" w:cstheme="minorEastAsia"/>
          <w:sz w:val="24"/>
          <w:shd w:val="clear" w:color="auto" w:fill="ffffff" w:themeFill="background1"/>
        </w:rPr>
      </w:pPr>
      <w:r/>
      <w:bookmarkStart w:id="34" w:name="_Toc28359087"/>
      <w:r/>
      <w:bookmarkStart w:id="35" w:name="_Toc28359010"/>
      <w:r>
        <w:rPr>
          <w:rFonts w:hint="eastAsia" w:ascii="宋体" w:hAnsi="宋体" w:eastAsia="宋体"/>
          <w:sz w:val="24"/>
          <w:shd w:val="clear" w:color="auto" w:fill="ffffff" w:themeFill="background1"/>
        </w:rPr>
        <w:t xml:space="preserve">2.</w:t>
      </w:r>
      <w:r>
        <w:rPr>
          <w:rFonts w:hint="eastAsia" w:asciiTheme="minorEastAsia" w:hAnsiTheme="minorEastAsia" w:cstheme="minorEastAsia"/>
          <w:sz w:val="24"/>
          <w:shd w:val="clear" w:color="auto" w:fill="ffffff" w:themeFill="background1"/>
        </w:rPr>
        <w:t xml:space="preserve">采购代理机构信息</w:t>
      </w:r>
      <w:r/>
    </w:p>
    <w:p>
      <w:pPr>
        <w:ind w:firstLine="480"/>
        <w:spacing w:line="500" w:lineRule="exact"/>
        <w:rPr>
          <w:rFonts w:hint="eastAsia" w:asciiTheme="minorEastAsia" w:hAnsiTheme="minorEastAsia" w:cstheme="minorEastAsia"/>
          <w:sz w:val="24"/>
          <w:shd w:val="clear" w:color="auto" w:fill="ffffff" w:themeFill="background1"/>
        </w:rPr>
      </w:pPr>
      <w:r>
        <w:rPr>
          <w:rFonts w:hint="eastAsia" w:asciiTheme="minorEastAsia" w:hAnsiTheme="minorEastAsia" w:cstheme="minorEastAsia"/>
          <w:sz w:val="24"/>
          <w:shd w:val="clear" w:color="auto" w:fill="ffffff" w:themeFill="background1"/>
        </w:rPr>
        <w:t xml:space="preserve">名 称：盐城立信造价工程师事务所有限公司　</w:t>
      </w:r>
      <w:r/>
    </w:p>
    <w:p>
      <w:pPr>
        <w:ind w:firstLine="480"/>
        <w:spacing w:line="500" w:lineRule="exact"/>
        <w:rPr>
          <w:rFonts w:hint="eastAsia" w:asciiTheme="minorEastAsia" w:hAnsiTheme="minorEastAsia" w:cstheme="minorEastAsia"/>
          <w:sz w:val="24"/>
          <w:shd w:val="clear" w:color="auto" w:fill="ffffff" w:themeFill="background1"/>
        </w:rPr>
      </w:pPr>
      <w:r>
        <w:rPr>
          <w:rFonts w:hint="eastAsia" w:asciiTheme="minorEastAsia" w:hAnsiTheme="minorEastAsia" w:cstheme="minorEastAsia"/>
          <w:sz w:val="24"/>
          <w:shd w:val="clear" w:color="auto" w:fill="ffffff" w:themeFill="background1"/>
        </w:rPr>
        <w:t xml:space="preserve">地　址：</w:t>
      </w:r>
      <w:bookmarkStart w:id="36" w:name="OLE_LINK25"/>
      <w:r/>
      <w:bookmarkStart w:id="37" w:name="OLE_LINK23"/>
      <w:r>
        <w:rPr>
          <w:rFonts w:hint="eastAsia" w:asciiTheme="minorEastAsia" w:hAnsiTheme="minorEastAsia" w:cstheme="minorEastAsia"/>
          <w:sz w:val="24"/>
          <w:shd w:val="clear" w:color="auto" w:fill="ffffff" w:themeFill="background1"/>
        </w:rPr>
        <w:t xml:space="preserve">盐城市金座广场B座11楼　</w:t>
      </w:r>
      <w:bookmarkEnd w:id="36"/>
      <w:r/>
      <w:bookmarkEnd w:id="37"/>
      <w:r/>
      <w:r/>
    </w:p>
    <w:p>
      <w:pPr>
        <w:ind w:firstLine="480"/>
        <w:spacing w:line="500" w:lineRule="exact"/>
        <w:rPr>
          <w:rFonts w:hint="eastAsia" w:asciiTheme="minorEastAsia" w:hAnsiTheme="minorEastAsia" w:cstheme="minorEastAsia"/>
          <w:sz w:val="24"/>
          <w:shd w:val="clear" w:color="auto" w:fill="ffffff" w:themeFill="background1"/>
        </w:rPr>
      </w:pPr>
      <w:r>
        <w:rPr>
          <w:rFonts w:hint="eastAsia" w:asciiTheme="minorEastAsia" w:hAnsiTheme="minorEastAsia" w:cstheme="minorEastAsia"/>
          <w:sz w:val="24"/>
          <w:shd w:val="clear" w:color="auto" w:fill="ffffff" w:themeFill="background1"/>
        </w:rPr>
        <w:t xml:space="preserve">联系人：</w:t>
      </w:r>
      <w:bookmarkStart w:id="38" w:name="OLE_LINK26"/>
      <w:r>
        <w:rPr>
          <w:rFonts w:hint="eastAsia" w:asciiTheme="minorEastAsia" w:hAnsiTheme="minorEastAsia" w:cstheme="minorEastAsia"/>
          <w:sz w:val="24"/>
          <w:shd w:val="clear" w:color="auto" w:fill="ffffff" w:themeFill="background1"/>
        </w:rPr>
        <w:t xml:space="preserve">杨工</w:t>
      </w:r>
      <w:bookmarkEnd w:id="38"/>
      <w:r/>
      <w:r/>
    </w:p>
    <w:p>
      <w:pPr>
        <w:ind w:firstLine="480"/>
        <w:spacing w:line="500" w:lineRule="exact"/>
        <w:rPr>
          <w:rFonts w:hint="eastAsia" w:asciiTheme="minorEastAsia" w:hAnsiTheme="minorEastAsia" w:cstheme="minorEastAsia"/>
          <w:sz w:val="24"/>
          <w:shd w:val="clear" w:color="auto" w:fill="ffffff" w:themeFill="background1"/>
        </w:rPr>
      </w:pPr>
      <w:r>
        <w:rPr>
          <w:rFonts w:hint="eastAsia" w:asciiTheme="minorEastAsia" w:hAnsiTheme="minorEastAsia" w:cstheme="minorEastAsia"/>
          <w:sz w:val="24"/>
          <w:shd w:val="clear" w:color="auto" w:fill="ffffff" w:themeFill="background1"/>
        </w:rPr>
        <w:t xml:space="preserve">联系方式：15358266233</w:t>
      </w:r>
      <w:r/>
    </w:p>
    <w:p>
      <w:pPr>
        <w:ind w:firstLine="480"/>
        <w:spacing w:line="500" w:lineRule="exact"/>
        <w:rPr>
          <w:rFonts w:hint="eastAsia" w:asciiTheme="minorEastAsia" w:hAnsiTheme="minorEastAsia" w:cstheme="minorEastAsia"/>
          <w:sz w:val="24"/>
          <w:shd w:val="clear" w:color="auto" w:fill="ffffff" w:themeFill="background1"/>
        </w:rPr>
      </w:pPr>
      <w:r>
        <w:rPr>
          <w:rFonts w:hint="eastAsia" w:ascii="宋体" w:hAnsi="宋体" w:eastAsia="宋体"/>
          <w:sz w:val="24"/>
          <w:shd w:val="clear" w:color="auto" w:fill="ffffff" w:themeFill="background1"/>
        </w:rPr>
        <w:t xml:space="preserve">3.</w:t>
      </w:r>
      <w:r>
        <w:rPr>
          <w:rFonts w:hint="eastAsia" w:asciiTheme="minorEastAsia" w:hAnsiTheme="minorEastAsia" w:cstheme="minorEastAsia"/>
          <w:sz w:val="24"/>
          <w:shd w:val="clear" w:color="auto" w:fill="ffffff" w:themeFill="background1"/>
        </w:rPr>
        <w:t xml:space="preserve">项目联系方式</w:t>
      </w:r>
      <w:bookmarkEnd w:id="34"/>
      <w:r/>
      <w:bookmarkEnd w:id="35"/>
      <w:r/>
      <w:r/>
    </w:p>
    <w:p>
      <w:pPr>
        <w:ind w:firstLine="480"/>
        <w:spacing w:line="500" w:lineRule="exact"/>
        <w:rPr>
          <w:rFonts w:hint="eastAsia" w:asciiTheme="minorEastAsia" w:hAnsiTheme="minorEastAsia" w:eastAsiaTheme="minorEastAsia" w:cstheme="minorEastAsia"/>
          <w:sz w:val="24"/>
          <w:shd w:val="clear" w:color="auto" w:fill="ffffff" w:themeFill="background1"/>
          <w:lang w:eastAsia="zh-CN"/>
        </w:rPr>
      </w:pPr>
      <w:r>
        <w:rPr>
          <w:rFonts w:hint="eastAsia" w:asciiTheme="minorEastAsia" w:hAnsiTheme="minorEastAsia" w:cstheme="minorEastAsia"/>
          <w:sz w:val="24"/>
          <w:shd w:val="clear" w:color="auto" w:fill="ffffff" w:themeFill="background1"/>
        </w:rPr>
        <w:t xml:space="preserve">联系人：</w:t>
      </w:r>
      <w:r>
        <w:rPr>
          <w:rFonts w:hint="eastAsia" w:asciiTheme="minorEastAsia" w:hAnsiTheme="minorEastAsia" w:cstheme="minorEastAsia"/>
          <w:sz w:val="24"/>
          <w:shd w:val="clear" w:color="auto" w:fill="ffffff" w:themeFill="background1"/>
          <w:lang w:eastAsia="zh-CN"/>
        </w:rPr>
        <w:t xml:space="preserve">盛先生</w:t>
      </w:r>
      <w:r/>
    </w:p>
    <w:p>
      <w:pPr>
        <w:ind w:firstLine="480"/>
        <w:jc w:val="left"/>
        <w:spacing w:line="500" w:lineRule="exact"/>
        <w:rPr>
          <w:rFonts w:hint="eastAsia" w:ascii="黑体" w:hAnsi="宋体" w:eastAsia="黑体" w:cs="黑体"/>
          <w:b/>
          <w:color w:val="000000"/>
          <w:sz w:val="44"/>
          <w:szCs w:val="44"/>
        </w:rPr>
      </w:pPr>
      <w:r>
        <w:rPr>
          <w:rFonts w:hint="eastAsia" w:asciiTheme="minorEastAsia" w:hAnsiTheme="minorEastAsia" w:cstheme="minorEastAsia"/>
          <w:sz w:val="24"/>
          <w:shd w:val="clear" w:color="auto" w:fill="ffffff" w:themeFill="background1"/>
        </w:rPr>
        <w:t xml:space="preserve">联系方式：</w:t>
      </w:r>
      <w:r>
        <w:rPr>
          <w:rFonts w:hint="eastAsia" w:asciiTheme="minorEastAsia" w:hAnsiTheme="minorEastAsia" w:cstheme="minorEastAsia"/>
          <w:sz w:val="24"/>
          <w:shd w:val="clear" w:color="auto" w:fill="ffffff" w:themeFill="background1"/>
          <w:lang w:eastAsia="zh-CN"/>
        </w:rPr>
        <w:t xml:space="preserve">18795489153</w:t>
      </w:r>
      <w:r>
        <w:rPr>
          <w:rFonts w:ascii="黑体" w:hAnsi="宋体" w:eastAsia="黑体" w:cs="黑体"/>
          <w:b/>
          <w:color w:val="000000"/>
          <w:sz w:val="44"/>
          <w:szCs w:val="44"/>
        </w:rPr>
        <w:br w:type="page" w:clear="all"/>
      </w:r>
      <w:r/>
    </w:p>
    <w:p>
      <w:pPr>
        <w:pStyle w:val="682"/>
        <w:ind w:firstLine="440"/>
        <w:jc w:val="center"/>
        <w:keepNext/>
        <w:spacing w:beforeAutospacing="0" w:afterAutospacing="0"/>
        <w:rPr>
          <w:rFonts w:ascii="方正小标宋_GBK" w:hAnsi="方正小标宋_GBK" w:eastAsia="方正小标宋_GBK" w:cs="方正小标宋_GBK"/>
          <w:color w:val="000000"/>
          <w:sz w:val="44"/>
          <w:szCs w:val="44"/>
        </w:rPr>
        <w:outlineLvl w:val="0"/>
      </w:pPr>
      <w:r/>
      <w:bookmarkStart w:id="39" w:name="_Toc479757211"/>
      <w:r/>
      <w:bookmarkStart w:id="40" w:name="_Toc16938590"/>
      <w:r/>
      <w:bookmarkStart w:id="41" w:name="_Toc120614244"/>
      <w:r/>
      <w:bookmarkStart w:id="42" w:name="_Toc20823346"/>
      <w:r/>
      <w:bookmarkStart w:id="43" w:name="_Hlt16619350"/>
      <w:r/>
      <w:bookmarkStart w:id="44" w:name="_Toc462564139"/>
      <w:r/>
      <w:bookmarkStart w:id="45" w:name="_Hlt26668975"/>
      <w:r/>
      <w:bookmarkStart w:id="46" w:name="_Hlt26954846"/>
      <w:r/>
      <w:bookmarkStart w:id="47" w:name="_Hlt26954838"/>
      <w:r/>
      <w:bookmarkStart w:id="48" w:name="_Hlt16619369"/>
      <w:r/>
      <w:bookmarkStart w:id="49" w:name="_Hlt26954731"/>
      <w:r/>
      <w:bookmarkStart w:id="50" w:name="_Hlt26670360"/>
      <w:r/>
      <w:bookmarkStart w:id="51" w:name="_Hlt26670486"/>
      <w:r/>
      <w:bookmarkStart w:id="52" w:name="_Toc513029226"/>
      <w:r/>
      <w:bookmarkStart w:id="53" w:name="_Hlt16619475"/>
      <w:r/>
      <w:bookmarkStart w:id="54" w:name="_Hlt26954848"/>
      <w:r/>
      <w:bookmarkStart w:id="55" w:name="_Hlt26954852"/>
      <w:r/>
      <w:bookmarkStart w:id="56" w:name="_Hlt26954739"/>
      <w:r/>
      <w:bookmarkStart w:id="57" w:name="_Hlt26670482"/>
      <w:r>
        <w:rPr>
          <w:rFonts w:hint="eastAsia" w:ascii="方正小标宋_GBK" w:hAnsi="方正小标宋_GBK" w:eastAsia="方正小标宋_GBK" w:cs="方正小标宋_GBK"/>
          <w:color w:val="000000"/>
          <w:sz w:val="44"/>
          <w:szCs w:val="44"/>
        </w:rPr>
        <w:t xml:space="preserve">第二章  </w:t>
      </w:r>
      <w:bookmarkStart w:id="58" w:name="_Toc513029202"/>
      <w:r/>
      <w:bookmarkStart w:id="59" w:name="_Toc20823274"/>
      <w:r/>
      <w:bookmarkStart w:id="60" w:name="_Toc120614213"/>
      <w:r/>
      <w:bookmarkStart w:id="61" w:name="_Toc16938518"/>
      <w:r>
        <w:rPr>
          <w:rFonts w:hint="eastAsia" w:ascii="方正小标宋_GBK" w:hAnsi="方正小标宋_GBK" w:eastAsia="方正小标宋_GBK" w:cs="方正小标宋_GBK"/>
          <w:color w:val="000000"/>
          <w:sz w:val="44"/>
          <w:szCs w:val="44"/>
        </w:rPr>
        <w:t xml:space="preserve">投标人须知</w:t>
      </w:r>
      <w:bookmarkEnd w:id="58"/>
      <w:r/>
      <w:bookmarkEnd w:id="59"/>
      <w:r/>
      <w:bookmarkEnd w:id="60"/>
      <w:r/>
      <w:bookmarkEnd w:id="61"/>
      <w:r/>
      <w:r/>
    </w:p>
    <w:p>
      <w:pPr>
        <w:spacing w:line="500" w:lineRule="exact"/>
        <w:widowControl w:val="off"/>
        <w:rPr>
          <w:rFonts w:hint="eastAsia" w:asciiTheme="minorEastAsia" w:hAnsiTheme="minorEastAsia" w:cstheme="minorEastAsia"/>
          <w:b/>
          <w:bCs/>
          <w:sz w:val="24"/>
        </w:rPr>
      </w:pPr>
      <w:r/>
      <w:bookmarkStart w:id="62" w:name="_Toc16938519"/>
      <w:r/>
      <w:bookmarkStart w:id="63" w:name="_Toc513029203"/>
      <w:r/>
      <w:bookmarkStart w:id="64" w:name="_Toc120614214"/>
      <w:r/>
      <w:bookmarkStart w:id="65" w:name="_Toc20823275"/>
      <w:r>
        <w:rPr>
          <w:rFonts w:hint="eastAsia" w:asciiTheme="minorEastAsia" w:hAnsiTheme="minorEastAsia" w:cstheme="minorEastAsia"/>
          <w:b/>
          <w:bCs/>
          <w:sz w:val="24"/>
        </w:rPr>
        <w:t xml:space="preserve">一、总则</w:t>
      </w:r>
      <w:bookmarkEnd w:id="62"/>
      <w:r/>
      <w:bookmarkEnd w:id="63"/>
      <w:r/>
      <w:bookmarkEnd w:id="64"/>
      <w:r/>
      <w:bookmarkEnd w:id="65"/>
      <w:r/>
      <w:r/>
    </w:p>
    <w:p>
      <w:pPr>
        <w:ind w:firstLine="480"/>
        <w:spacing w:line="500" w:lineRule="exact"/>
        <w:widowControl w:val="off"/>
        <w:rPr>
          <w:rFonts w:hint="eastAsia" w:ascii="宋体" w:hAnsi="宋体" w:eastAsia="宋体" w:cs="宋体"/>
          <w:color w:val="000000"/>
          <w:sz w:val="24"/>
        </w:rPr>
      </w:pPr>
      <w:r/>
      <w:bookmarkStart w:id="66" w:name="_Toc20823276"/>
      <w:r/>
      <w:bookmarkStart w:id="67" w:name="_Toc16938520"/>
      <w:r/>
      <w:bookmarkStart w:id="68" w:name="_Toc458694821"/>
      <w:r/>
      <w:bookmarkStart w:id="69" w:name="_Toc513029204"/>
      <w:r>
        <w:rPr>
          <w:rFonts w:hint="eastAsia" w:ascii="宋体" w:hAnsi="宋体" w:eastAsia="宋体" w:cs="宋体"/>
          <w:color w:val="000000"/>
          <w:sz w:val="24"/>
        </w:rPr>
        <w:t xml:space="preserve">1</w:t>
      </w:r>
      <w:bookmarkEnd w:id="66"/>
      <w:r>
        <w:rPr>
          <w:rFonts w:hint="eastAsia" w:ascii="宋体" w:hAnsi="宋体" w:eastAsia="宋体" w:cs="宋体"/>
          <w:color w:val="000000"/>
          <w:sz w:val="24"/>
        </w:rPr>
        <w:t xml:space="preserve">、招标方式</w:t>
      </w:r>
      <w:bookmarkEnd w:id="67"/>
      <w:r/>
      <w:bookmarkEnd w:id="68"/>
      <w:r/>
      <w:bookmarkEnd w:id="69"/>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1.1本次招标采取公开招标方式，本招标文件仅适用于招标公告中所述项目。</w:t>
      </w:r>
      <w:r/>
    </w:p>
    <w:p>
      <w:pPr>
        <w:ind w:firstLine="480"/>
        <w:spacing w:line="500" w:lineRule="exact"/>
        <w:widowControl w:val="off"/>
        <w:rPr>
          <w:rFonts w:hint="eastAsia" w:ascii="宋体" w:hAnsi="宋体" w:eastAsia="宋体" w:cs="宋体"/>
          <w:color w:val="000000"/>
          <w:sz w:val="24"/>
        </w:rPr>
      </w:pPr>
      <w:r/>
      <w:bookmarkStart w:id="70" w:name="_Toc513029205"/>
      <w:r/>
      <w:bookmarkStart w:id="71" w:name="_Toc20823277"/>
      <w:r/>
      <w:bookmarkStart w:id="72" w:name="_Toc16938521"/>
      <w:r>
        <w:rPr>
          <w:rFonts w:hint="eastAsia" w:ascii="宋体" w:hAnsi="宋体" w:eastAsia="宋体" w:cs="宋体"/>
          <w:color w:val="000000"/>
          <w:sz w:val="24"/>
        </w:rPr>
        <w:t xml:space="preserve">2、合格的投标人</w:t>
      </w:r>
      <w:bookmarkEnd w:id="70"/>
      <w:r/>
      <w:bookmarkEnd w:id="71"/>
      <w:r/>
      <w:bookmarkEnd w:id="72"/>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2.1满足招标公告中供应商的资格要求的规定。</w:t>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2.2满足本文件实质性要求和条件的规定。</w:t>
      </w:r>
      <w:r/>
    </w:p>
    <w:p>
      <w:pPr>
        <w:ind w:firstLine="480"/>
        <w:spacing w:line="500" w:lineRule="exact"/>
        <w:widowControl w:val="off"/>
        <w:rPr>
          <w:rFonts w:hint="eastAsia" w:ascii="宋体" w:hAnsi="宋体" w:eastAsia="宋体" w:cs="宋体"/>
          <w:sz w:val="24"/>
        </w:rPr>
      </w:pPr>
      <w:r/>
      <w:bookmarkStart w:id="73" w:name="_Toc20823278"/>
      <w:r/>
      <w:bookmarkStart w:id="74" w:name="_Toc513029206"/>
      <w:r/>
      <w:bookmarkStart w:id="75" w:name="_Toc16938522"/>
      <w:r>
        <w:rPr>
          <w:rFonts w:hint="eastAsia" w:ascii="宋体" w:hAnsi="宋体" w:eastAsia="宋体" w:cs="宋体"/>
          <w:sz w:val="24"/>
        </w:rPr>
        <w:t xml:space="preserve">3、适用法律</w:t>
      </w:r>
      <w:bookmarkEnd w:id="73"/>
      <w:r/>
      <w:bookmarkEnd w:id="74"/>
      <w:r/>
      <w:bookmarkEnd w:id="75"/>
      <w:r>
        <w:rPr>
          <w:rFonts w:hint="eastAsia" w:ascii="宋体" w:hAnsi="宋体" w:eastAsia="宋体" w:cs="宋体"/>
          <w:sz w:val="24"/>
        </w:rPr>
        <w:t xml:space="preserve">和标准</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3.1本次招标及由此产生的合同受中华人民共和国有关的法律法规制约和保护。</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3.2在本项目政府采购活动过程中，如果所执行的标准有更新的，按照最新标准执行。</w:t>
      </w:r>
      <w:r/>
    </w:p>
    <w:p>
      <w:pPr>
        <w:ind w:firstLine="480"/>
        <w:spacing w:line="500" w:lineRule="exact"/>
        <w:widowControl w:val="off"/>
        <w:rPr>
          <w:rFonts w:hint="eastAsia" w:ascii="宋体" w:hAnsi="宋体" w:eastAsia="宋体" w:cs="宋体"/>
          <w:color w:val="000000"/>
          <w:sz w:val="24"/>
        </w:rPr>
      </w:pPr>
      <w:r/>
      <w:bookmarkStart w:id="76" w:name="_Toc513029207"/>
      <w:r/>
      <w:bookmarkStart w:id="77" w:name="_Toc20823279"/>
      <w:r/>
      <w:bookmarkStart w:id="78" w:name="_Toc462564067"/>
      <w:r/>
      <w:bookmarkStart w:id="79" w:name="_Toc16938523"/>
      <w:r>
        <w:rPr>
          <w:rFonts w:hint="eastAsia" w:ascii="宋体" w:hAnsi="宋体" w:eastAsia="宋体" w:cs="宋体"/>
          <w:color w:val="000000"/>
          <w:sz w:val="24"/>
        </w:rPr>
        <w:t xml:space="preserve">4、投标费用</w:t>
      </w:r>
      <w:bookmarkEnd w:id="76"/>
      <w:r/>
      <w:bookmarkEnd w:id="77"/>
      <w:r/>
      <w:bookmarkEnd w:id="78"/>
      <w:r/>
      <w:bookmarkEnd w:id="79"/>
      <w:r/>
      <w:r/>
    </w:p>
    <w:p>
      <w:pPr>
        <w:ind w:firstLine="480"/>
        <w:spacing w:line="500" w:lineRule="exact"/>
        <w:widowControl w:val="off"/>
        <w:rPr>
          <w:rFonts w:hint="eastAsia" w:ascii="宋体" w:hAnsi="宋体" w:eastAsia="宋体" w:cs="宋体"/>
          <w:bCs/>
          <w:color w:val="000000"/>
          <w:sz w:val="24"/>
        </w:rPr>
      </w:pPr>
      <w:r>
        <w:rPr>
          <w:rFonts w:hint="eastAsia" w:ascii="宋体" w:hAnsi="宋体" w:eastAsia="宋体" w:cs="宋体"/>
          <w:bCs/>
          <w:color w:val="000000"/>
          <w:sz w:val="24"/>
        </w:rPr>
        <w:t xml:space="preserve">4</w:t>
      </w:r>
      <w:r>
        <w:rPr>
          <w:rFonts w:ascii="宋体" w:hAnsi="宋体" w:eastAsia="宋体" w:cs="宋体"/>
          <w:bCs/>
          <w:color w:val="000000"/>
          <w:sz w:val="24"/>
        </w:rPr>
        <w:t xml:space="preserve">.1</w:t>
      </w:r>
      <w:r>
        <w:rPr>
          <w:rFonts w:hint="eastAsia" w:ascii="宋体" w:hAnsi="宋体" w:eastAsia="宋体" w:cs="宋体"/>
          <w:bCs/>
          <w:color w:val="000000"/>
          <w:sz w:val="24"/>
        </w:rPr>
        <w:t xml:space="preserve">投标人应自行承担所有与参加投标有关的费用，无论投标过程中的做法和结果如何，采购人和采购代理机构在任何情况下均无义务和责任承担这些费用。</w:t>
      </w:r>
      <w:r/>
    </w:p>
    <w:p>
      <w:pPr>
        <w:pStyle w:val="876"/>
        <w:ind w:left="0" w:firstLine="480"/>
        <w:spacing w:after="0" w:line="500" w:lineRule="exact"/>
        <w:widowControl w:val="off"/>
        <w:rPr>
          <w:rFonts w:hint="eastAsia" w:ascii="宋体" w:hAnsi="宋体" w:eastAsia="宋体"/>
          <w:sz w:val="24"/>
        </w:rPr>
      </w:pPr>
      <w:r>
        <w:rPr>
          <w:rFonts w:hint="eastAsia" w:ascii="宋体" w:hAnsi="宋体" w:eastAsia="宋体"/>
          <w:sz w:val="24"/>
        </w:rPr>
        <w:t xml:space="preserve">4.2本项目的招标代理服务费由中标单位承担，招标代理服务费按《关于印发江苏省政府采购代理服务收费指导意见》（苏政采协[2024]20号文）标准*</w:t>
      </w:r>
      <w:r>
        <w:rPr>
          <w:rFonts w:hint="eastAsia" w:ascii="宋体" w:hAnsi="宋体" w:eastAsia="宋体"/>
          <w:sz w:val="24"/>
          <w:lang w:val="en-US" w:eastAsia="zh-CN"/>
        </w:rPr>
        <w:t xml:space="preserve">90</w:t>
      </w:r>
      <w:r>
        <w:rPr>
          <w:rFonts w:hint="eastAsia" w:ascii="宋体" w:hAnsi="宋体" w:eastAsia="宋体"/>
          <w:sz w:val="24"/>
        </w:rPr>
        <w:t xml:space="preserve">%计取。投标人在投标时应将此费用自行考虑在投标报价中，不单列，中标后由中标单位在领取成交通知书前直接向代理机构一次性付清。</w:t>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5、招标文件的约束力</w:t>
      </w:r>
      <w:r/>
    </w:p>
    <w:p>
      <w:pPr>
        <w:ind w:firstLine="480"/>
        <w:spacing w:line="500" w:lineRule="exact"/>
        <w:widowControl w:val="off"/>
        <w:rPr>
          <w:rFonts w:hint="eastAsia"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5.1投标人一旦参加本项目采购活动，即被认为接受了本招标文件的规定和约束</w:t>
      </w:r>
      <w:r>
        <w:rPr>
          <w:rFonts w:hint="eastAsia" w:asciiTheme="minorEastAsia" w:hAnsiTheme="minorEastAsia" w:cstheme="minorEastAsia"/>
          <w:sz w:val="24"/>
          <w:shd w:val="clear" w:color="auto" w:fill="ffffff" w:themeFill="background1"/>
        </w:rPr>
        <w:t xml:space="preserve">。</w:t>
      </w:r>
      <w:r/>
    </w:p>
    <w:p>
      <w:pPr>
        <w:spacing w:line="500" w:lineRule="exact"/>
        <w:widowControl w:val="off"/>
        <w:rPr>
          <w:rFonts w:hint="eastAsia" w:asciiTheme="minorEastAsia" w:hAnsiTheme="minorEastAsia" w:cstheme="minorEastAsia"/>
          <w:b/>
          <w:bCs/>
          <w:sz w:val="24"/>
        </w:rPr>
      </w:pPr>
      <w:r/>
      <w:bookmarkStart w:id="80" w:name="_Toc16938525"/>
      <w:r/>
      <w:bookmarkStart w:id="81" w:name="_Toc20823281"/>
      <w:r/>
      <w:bookmarkStart w:id="82" w:name="_Toc120614215"/>
      <w:r/>
      <w:bookmarkStart w:id="83" w:name="_Toc513029209"/>
      <w:r>
        <w:rPr>
          <w:rFonts w:hint="eastAsia" w:asciiTheme="minorEastAsia" w:hAnsiTheme="minorEastAsia" w:cstheme="minorEastAsia"/>
          <w:b/>
          <w:bCs/>
          <w:sz w:val="24"/>
        </w:rPr>
        <w:t xml:space="preserve">二、招标文件</w:t>
      </w:r>
      <w:bookmarkEnd w:id="80"/>
      <w:r/>
      <w:bookmarkEnd w:id="81"/>
      <w:r/>
      <w:bookmarkEnd w:id="82"/>
      <w:r/>
      <w:bookmarkEnd w:id="83"/>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6、招标文件构成</w:t>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6.1招标文件由以下部分组成：</w:t>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（1）招标公告</w:t>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（2）投标人须知</w:t>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（3）合同条款</w:t>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（4）采购需求</w:t>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（5）评标方法与评标标准</w:t>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（6）投标文件格式</w:t>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请仔细检查招标文件是否齐全，如有缺漏请立即与采购代理机构联系解决。</w:t>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00" w:lineRule="exact"/>
        <w:widowControl w:val="off"/>
        <w:rPr>
          <w:rFonts w:hint="eastAsia" w:asciiTheme="minorEastAsia" w:hAnsiTheme="minorEastAsia" w:cstheme="minorEastAsia"/>
          <w:sz w:val="24"/>
          <w:shd w:val="clear" w:color="auto" w:fill="ffffff" w:themeFill="background1"/>
        </w:rPr>
      </w:pPr>
      <w:r/>
      <w:bookmarkStart w:id="84" w:name="_Toc20823283"/>
      <w:r/>
      <w:bookmarkStart w:id="85" w:name="_Toc16938527"/>
      <w:r/>
      <w:bookmarkStart w:id="86" w:name="_Toc462564070"/>
      <w:r/>
      <w:bookmarkStart w:id="87" w:name="_Toc513029211"/>
      <w:r>
        <w:rPr>
          <w:rFonts w:hint="eastAsia" w:ascii="宋体" w:hAnsi="宋体" w:eastAsia="宋体" w:cs="宋体"/>
          <w:color w:val="000000"/>
          <w:sz w:val="24"/>
        </w:rPr>
        <w:t xml:space="preserve">7</w:t>
      </w:r>
      <w:r>
        <w:rPr>
          <w:rFonts w:hint="eastAsia" w:asciiTheme="minorEastAsia" w:hAnsiTheme="minorEastAsia" w:cstheme="minorEastAsia"/>
          <w:sz w:val="24"/>
          <w:shd w:val="clear" w:color="auto" w:fill="ffffff" w:themeFill="background1"/>
        </w:rPr>
        <w:t xml:space="preserve">、招标文件的澄清</w:t>
      </w:r>
      <w:bookmarkEnd w:id="84"/>
      <w:r/>
      <w:bookmarkEnd w:id="85"/>
      <w:r/>
      <w:bookmarkEnd w:id="86"/>
      <w:r/>
      <w:bookmarkEnd w:id="87"/>
      <w:r/>
      <w:r/>
    </w:p>
    <w:p>
      <w:pPr>
        <w:ind w:firstLine="480"/>
        <w:spacing w:line="500" w:lineRule="exact"/>
        <w:widowControl w:val="off"/>
        <w:rPr>
          <w:rFonts w:hint="eastAsia"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7.1任何要求对招标文件进行澄清的投标人，应在投标截止期十日前按招标公告中的通讯地址</w:t>
      </w:r>
      <w:r>
        <w:rPr>
          <w:rFonts w:hint="eastAsia" w:asciiTheme="minorEastAsia" w:hAnsiTheme="minorEastAsia" w:cstheme="minorEastAsia"/>
          <w:sz w:val="24"/>
          <w:shd w:val="clear" w:color="auto" w:fill="ffffff" w:themeFill="background1"/>
        </w:rPr>
        <w:t xml:space="preserve">，以书面形式通知采购代理机构。</w:t>
      </w:r>
      <w:r/>
    </w:p>
    <w:p>
      <w:pPr>
        <w:ind w:firstLine="480"/>
        <w:spacing w:line="500" w:lineRule="exact"/>
        <w:widowControl w:val="off"/>
        <w:rPr>
          <w:rFonts w:hint="eastAsia" w:ascii="宋体" w:hAnsi="宋体" w:eastAsia="宋体" w:cs="宋体"/>
          <w:color w:val="000000"/>
          <w:sz w:val="24"/>
        </w:rPr>
      </w:pPr>
      <w:r/>
      <w:bookmarkStart w:id="88" w:name="_Toc16938528"/>
      <w:r/>
      <w:bookmarkStart w:id="89" w:name="_Toc462564071"/>
      <w:r/>
      <w:bookmarkStart w:id="90" w:name="_Toc20823284"/>
      <w:r/>
      <w:bookmarkStart w:id="91" w:name="_Toc513029212"/>
      <w:r>
        <w:rPr>
          <w:rFonts w:hint="eastAsia" w:ascii="宋体" w:hAnsi="宋体" w:eastAsia="宋体" w:cs="宋体"/>
          <w:color w:val="000000"/>
          <w:sz w:val="24"/>
        </w:rPr>
        <w:t xml:space="preserve">8、招标文件的修改</w:t>
      </w:r>
      <w:bookmarkEnd w:id="88"/>
      <w:r/>
      <w:bookmarkEnd w:id="89"/>
      <w:r/>
      <w:bookmarkEnd w:id="90"/>
      <w:r/>
      <w:bookmarkEnd w:id="91"/>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8.1在投标截止时间前，采购代理机构可以对招标文件进行修改。</w:t>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8.2采购代理机构有权按照法定的要求推迟投标截止日期和开标日期。</w:t>
      </w:r>
      <w:r/>
    </w:p>
    <w:p>
      <w:pPr>
        <w:ind w:firstLine="480"/>
        <w:spacing w:line="500" w:lineRule="exact"/>
        <w:widowControl w:val="off"/>
        <w:rPr>
          <w:rFonts w:hint="eastAsia"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8.3</w:t>
      </w:r>
      <w:r>
        <w:rPr>
          <w:rFonts w:hint="eastAsia" w:asciiTheme="minorEastAsia" w:hAnsiTheme="minorEastAsia" w:cstheme="minorEastAsia"/>
          <w:sz w:val="24"/>
          <w:shd w:val="clear" w:color="auto" w:fill="ffffff" w:themeFill="background1"/>
        </w:rPr>
        <w:t xml:space="preserve">招标文件的修改将在“中国政府采购网、江苏政府采购网、盐城市政府采购网”公布，补充文件将作为招标文件的组成部分，并对投标人具有约束力。</w:t>
      </w:r>
      <w:r/>
    </w:p>
    <w:p>
      <w:pPr>
        <w:spacing w:line="500" w:lineRule="exact"/>
        <w:widowControl w:val="off"/>
        <w:rPr>
          <w:rFonts w:hint="eastAsia" w:asciiTheme="minorEastAsia" w:hAnsiTheme="minorEastAsia" w:cstheme="minorEastAsia"/>
          <w:b/>
          <w:bCs/>
          <w:sz w:val="24"/>
        </w:rPr>
      </w:pPr>
      <w:r/>
      <w:bookmarkStart w:id="92" w:name="_Toc120614216"/>
      <w:r/>
      <w:bookmarkStart w:id="93" w:name="_Toc462564072"/>
      <w:r/>
      <w:bookmarkStart w:id="94" w:name="_Toc16938529"/>
      <w:r/>
      <w:bookmarkStart w:id="95" w:name="_Toc20823285"/>
      <w:r/>
      <w:bookmarkStart w:id="96" w:name="_Toc513029213"/>
      <w:r>
        <w:rPr>
          <w:rFonts w:hint="eastAsia" w:asciiTheme="minorEastAsia" w:hAnsiTheme="minorEastAsia" w:cstheme="minorEastAsia"/>
          <w:b/>
          <w:bCs/>
          <w:sz w:val="24"/>
        </w:rPr>
        <w:t xml:space="preserve">三、投标文件的编制</w:t>
      </w:r>
      <w:bookmarkEnd w:id="92"/>
      <w:r/>
      <w:bookmarkEnd w:id="93"/>
      <w:r/>
      <w:bookmarkEnd w:id="94"/>
      <w:r/>
      <w:bookmarkEnd w:id="95"/>
      <w:r/>
      <w:bookmarkEnd w:id="96"/>
      <w:r/>
      <w:r/>
    </w:p>
    <w:p>
      <w:pPr>
        <w:ind w:firstLine="480"/>
        <w:spacing w:line="500" w:lineRule="exact"/>
        <w:widowControl w:val="off"/>
        <w:rPr>
          <w:rFonts w:hint="eastAsia" w:ascii="宋体" w:hAnsi="宋体" w:eastAsia="宋体" w:cs="宋体"/>
          <w:color w:val="000000"/>
          <w:sz w:val="24"/>
        </w:rPr>
      </w:pPr>
      <w:r/>
      <w:bookmarkStart w:id="97" w:name="_Toc20823286"/>
      <w:r/>
      <w:bookmarkStart w:id="98" w:name="_Toc513029214"/>
      <w:r/>
      <w:bookmarkStart w:id="99" w:name="_Toc462564073"/>
      <w:r/>
      <w:bookmarkStart w:id="100" w:name="_Toc16938530"/>
      <w:r>
        <w:rPr>
          <w:rFonts w:hint="eastAsia" w:ascii="宋体" w:hAnsi="宋体" w:eastAsia="宋体" w:cs="宋体"/>
          <w:color w:val="000000"/>
          <w:sz w:val="24"/>
        </w:rPr>
        <w:t xml:space="preserve">9、投标文件的语言及度量衡单位</w:t>
      </w:r>
      <w:bookmarkEnd w:id="97"/>
      <w:r/>
      <w:bookmarkEnd w:id="98"/>
      <w:r/>
      <w:bookmarkEnd w:id="99"/>
      <w:r/>
      <w:bookmarkEnd w:id="100"/>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9.1投标人提交的投标文件以及投标人与采购代理机构就有关投标的所有来往通知、函件和文件均应使用简体中文。</w:t>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9.2除技术性能另有规定外，投标文件所使用的度量衡单位，均须采用国家法定计量单位。</w:t>
      </w:r>
      <w:r/>
    </w:p>
    <w:p>
      <w:pPr>
        <w:ind w:firstLine="480"/>
        <w:spacing w:line="500" w:lineRule="exact"/>
        <w:widowControl w:val="off"/>
        <w:rPr>
          <w:rFonts w:hint="eastAsia" w:ascii="宋体" w:hAnsi="宋体" w:eastAsia="宋体" w:cs="宋体"/>
          <w:color w:val="000000"/>
          <w:sz w:val="24"/>
        </w:rPr>
      </w:pPr>
      <w:r/>
      <w:bookmarkStart w:id="101" w:name="_Toc462564074"/>
      <w:r/>
      <w:bookmarkStart w:id="102" w:name="_Toc513029215"/>
      <w:r/>
      <w:bookmarkStart w:id="103" w:name="_Toc20823287"/>
      <w:r/>
      <w:bookmarkStart w:id="104" w:name="_Toc16938531"/>
      <w:r>
        <w:rPr>
          <w:rFonts w:hint="eastAsia" w:ascii="宋体" w:hAnsi="宋体" w:eastAsia="宋体" w:cs="宋体"/>
          <w:color w:val="000000"/>
          <w:sz w:val="24"/>
        </w:rPr>
        <w:t xml:space="preserve">10、投标文件构成</w:t>
      </w:r>
      <w:bookmarkEnd w:id="101"/>
      <w:r/>
      <w:bookmarkEnd w:id="102"/>
      <w:r/>
      <w:bookmarkEnd w:id="103"/>
      <w:r/>
      <w:bookmarkEnd w:id="104"/>
      <w:r/>
      <w:r/>
    </w:p>
    <w:p>
      <w:pPr>
        <w:ind w:firstLine="480"/>
        <w:spacing w:line="500" w:lineRule="exact"/>
        <w:widowControl w:val="off"/>
        <w:rPr>
          <w:rFonts w:hint="eastAsia"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10.1</w:t>
      </w:r>
      <w:r>
        <w:rPr>
          <w:rFonts w:hint="eastAsia" w:asciiTheme="minorEastAsia" w:hAnsiTheme="minorEastAsia" w:cstheme="minorEastAsia"/>
          <w:sz w:val="24"/>
          <w:shd w:val="clear" w:color="auto" w:fill="ffffff" w:themeFill="background1"/>
        </w:rPr>
        <w:t xml:space="preserve">投标人编写的投标文件应包括资格证明文件、符合性证明文件、投标分项报价表、技术需求响应及偏离表、商务需求响应及偏离表、其他证明文件、投标函、开标一览表等部分。</w:t>
      </w:r>
      <w:r/>
    </w:p>
    <w:p>
      <w:pPr>
        <w:ind w:firstLine="480"/>
        <w:spacing w:line="500" w:lineRule="exact"/>
        <w:widowControl w:val="off"/>
        <w:rPr>
          <w:rFonts w:hint="eastAsia"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10.2</w:t>
      </w:r>
      <w:r>
        <w:rPr>
          <w:rFonts w:hint="eastAsia" w:asciiTheme="minorEastAsia" w:hAnsiTheme="minorEastAsia" w:cstheme="minorEastAsia"/>
          <w:sz w:val="24"/>
          <w:shd w:val="clear" w:color="auto" w:fill="ffffff" w:themeFill="background1"/>
        </w:rPr>
        <w:t xml:space="preserve">如标书制作工具中格式和内容与“中国政府采购网”、“江苏政府采购网”、“盐城市政府采购网”发布的招标文件不一致，请以中国政府采购网”、“江苏政府采购网”、“盐城市政府采购网”发布的招标文件为准。</w:t>
      </w:r>
      <w:r/>
    </w:p>
    <w:p>
      <w:pPr>
        <w:ind w:firstLine="480"/>
        <w:spacing w:line="500" w:lineRule="exact"/>
        <w:widowControl w:val="off"/>
        <w:rPr>
          <w:rFonts w:hint="eastAsia" w:ascii="宋体" w:hAnsi="宋体" w:eastAsia="宋体" w:cs="宋体"/>
          <w:color w:val="000000"/>
          <w:sz w:val="24"/>
        </w:rPr>
      </w:pPr>
      <w:r/>
      <w:bookmarkStart w:id="105" w:name="_Toc513029216"/>
      <w:r/>
      <w:bookmarkStart w:id="106" w:name="_Toc14577357"/>
      <w:r/>
      <w:bookmarkStart w:id="107" w:name="_Toc49090507"/>
      <w:r/>
      <w:bookmarkStart w:id="108" w:name="_Toc49090509"/>
      <w:r/>
      <w:bookmarkStart w:id="109" w:name="_Toc14577355"/>
      <w:r/>
      <w:bookmarkStart w:id="110" w:name="_Toc49090508"/>
      <w:r/>
      <w:bookmarkStart w:id="111" w:name="_Toc14577354"/>
      <w:r/>
      <w:bookmarkStart w:id="112" w:name="_Toc513029219"/>
      <w:r>
        <w:rPr>
          <w:rFonts w:hint="eastAsia" w:ascii="宋体" w:hAnsi="宋体" w:eastAsia="宋体" w:cs="宋体"/>
          <w:color w:val="000000"/>
          <w:sz w:val="24"/>
        </w:rPr>
        <w:t xml:space="preserve">11、证明投标人及投标标的符合招标文件规定的文件</w:t>
      </w:r>
      <w:bookmarkEnd w:id="105"/>
      <w:r/>
      <w:bookmarkEnd w:id="106"/>
      <w:r/>
      <w:bookmarkEnd w:id="107"/>
      <w:r/>
      <w:bookmarkEnd w:id="108"/>
      <w:r/>
      <w:bookmarkEnd w:id="109"/>
      <w:r/>
      <w:bookmarkEnd w:id="110"/>
      <w:r/>
      <w:bookmarkEnd w:id="111"/>
      <w:r/>
      <w:bookmarkEnd w:id="112"/>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11.1投标人应按照招标文件要求提交证明文件，证明其及投标标的符合招标文件规定。</w:t>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11.2招标文件对证明文件无明确形式要求的，证明文件可以以文字资料、图纸和数据等形式提交。</w:t>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12、投标分项报价表</w:t>
      </w:r>
      <w:r/>
    </w:p>
    <w:p>
      <w:pPr>
        <w:ind w:firstLine="480"/>
        <w:spacing w:line="500" w:lineRule="exact"/>
        <w:widowControl w:val="off"/>
        <w:rPr>
          <w:rFonts w:hint="eastAsia"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12.1</w:t>
      </w:r>
      <w:r>
        <w:rPr>
          <w:rFonts w:hint="eastAsia" w:asciiTheme="minorEastAsia" w:hAnsiTheme="minorEastAsia" w:cstheme="minorEastAsia"/>
          <w:sz w:val="24"/>
          <w:shd w:val="clear" w:color="auto" w:fill="ffffff" w:themeFill="background1"/>
        </w:rPr>
        <w:t xml:space="preserve">投标人应按照招标文件规定格式填报投标分项报价表。</w:t>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12.2投标货币。投标文件中的单价和总价无特殊规定的采用人民币报价，以元为单位标注。招标文件中另有规定的按规定执行。</w:t>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13、技术需求响应及偏离表、商务需求响应及偏离表</w:t>
      </w:r>
      <w:r/>
    </w:p>
    <w:p>
      <w:pPr>
        <w:ind w:firstLine="480"/>
        <w:spacing w:line="500" w:lineRule="exact"/>
        <w:widowControl w:val="off"/>
        <w:rPr>
          <w:rFonts w:hint="eastAsia"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13.1</w:t>
      </w:r>
      <w:r>
        <w:rPr>
          <w:rFonts w:hint="eastAsia" w:asciiTheme="minorEastAsia" w:hAnsiTheme="minorEastAsia" w:cstheme="minorEastAsia"/>
          <w:sz w:val="24"/>
          <w:shd w:val="clear" w:color="auto" w:fill="ffffff" w:themeFill="background1"/>
        </w:rPr>
        <w:t xml:space="preserve">投标人需对招标文件中的技术需求与商务需求逐项作出响应或偏离，并说明原因。</w:t>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13.2投标人可在投标文件中提供认为需要的其他技术文件或说明。</w:t>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14、服务承诺、培训计划、人员安排及其他</w:t>
      </w:r>
      <w:r/>
    </w:p>
    <w:p>
      <w:pPr>
        <w:ind w:firstLine="480"/>
        <w:spacing w:line="500" w:lineRule="exact"/>
        <w:widowControl w:val="off"/>
        <w:rPr>
          <w:rFonts w:hint="eastAsia"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14.1</w:t>
      </w:r>
      <w:r>
        <w:rPr>
          <w:rFonts w:hint="eastAsia" w:asciiTheme="minorEastAsia" w:hAnsiTheme="minorEastAsia" w:cstheme="minorEastAsia"/>
          <w:sz w:val="24"/>
          <w:shd w:val="clear" w:color="auto" w:fill="ffffff" w:themeFill="background1"/>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14.2投标人需根据招标文件要求提供培训计划。</w:t>
      </w:r>
      <w:r/>
    </w:p>
    <w:p>
      <w:pPr>
        <w:ind w:firstLine="480"/>
        <w:spacing w:line="500" w:lineRule="exact"/>
        <w:widowControl w:val="off"/>
        <w:rPr>
          <w:rFonts w:hint="eastAsia"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14.3</w:t>
      </w:r>
      <w:r>
        <w:rPr>
          <w:rFonts w:hint="eastAsia" w:asciiTheme="minorEastAsia" w:hAnsiTheme="minorEastAsia" w:cstheme="minorEastAsia"/>
          <w:sz w:val="24"/>
          <w:shd w:val="clear" w:color="auto" w:fill="ffffff" w:themeFill="background1"/>
        </w:rPr>
        <w:t xml:space="preserve">投标人需根据招标文件要求提供所投标的的主要组成部分、功能设计、实现思路及关键技术等。</w:t>
      </w:r>
      <w:r/>
    </w:p>
    <w:p>
      <w:pPr>
        <w:ind w:firstLine="480"/>
        <w:spacing w:line="500" w:lineRule="exact"/>
        <w:widowControl w:val="off"/>
        <w:rPr>
          <w:rFonts w:hint="eastAsia" w:asciiTheme="minorEastAsia" w:hAnsiTheme="minorEastAsia" w:cstheme="minorEastAsia"/>
          <w:sz w:val="24"/>
          <w:shd w:val="clear" w:color="auto" w:fill="ffffff" w:themeFill="background1"/>
        </w:rPr>
      </w:pPr>
      <w:r/>
      <w:bookmarkStart w:id="113" w:name="_Toc14577359"/>
      <w:r/>
      <w:bookmarkStart w:id="114" w:name="_Toc49090510"/>
      <w:r>
        <w:rPr>
          <w:rFonts w:hint="eastAsia" w:ascii="宋体" w:hAnsi="宋体" w:eastAsia="宋体" w:cs="宋体"/>
          <w:color w:val="000000"/>
          <w:sz w:val="24"/>
        </w:rPr>
        <w:t xml:space="preserve">15、</w:t>
      </w:r>
      <w:r>
        <w:rPr>
          <w:rFonts w:hint="eastAsia" w:asciiTheme="minorEastAsia" w:hAnsiTheme="minorEastAsia" w:cstheme="minorEastAsia"/>
          <w:sz w:val="24"/>
          <w:shd w:val="clear" w:color="auto" w:fill="ffffff" w:themeFill="background1"/>
        </w:rPr>
        <w:t xml:space="preserve">投标函和开标一览表</w:t>
      </w:r>
      <w:bookmarkEnd w:id="113"/>
      <w:r/>
      <w:bookmarkEnd w:id="114"/>
      <w:r/>
      <w:r/>
    </w:p>
    <w:p>
      <w:pPr>
        <w:ind w:firstLine="480"/>
        <w:spacing w:line="500" w:lineRule="exact"/>
        <w:widowControl w:val="off"/>
        <w:rPr>
          <w:rFonts w:hint="eastAsia"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15.1</w:t>
      </w:r>
      <w:r>
        <w:rPr>
          <w:rFonts w:hint="eastAsia" w:asciiTheme="minorEastAsia" w:hAnsiTheme="minorEastAsia" w:cstheme="minorEastAsia"/>
          <w:sz w:val="24"/>
          <w:shd w:val="clear" w:color="auto" w:fill="ffffff" w:themeFill="background1"/>
        </w:rPr>
        <w:t xml:space="preserve">投标人应按照招标文件中提供的格式完整、正确填写投标函、开标一览表。</w:t>
      </w:r>
      <w:r/>
    </w:p>
    <w:p>
      <w:pPr>
        <w:ind w:firstLine="480"/>
        <w:spacing w:line="500" w:lineRule="exact"/>
        <w:widowControl w:val="off"/>
        <w:rPr>
          <w:rFonts w:hint="eastAsia"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15.2</w:t>
      </w:r>
      <w:r>
        <w:rPr>
          <w:rFonts w:hint="eastAsia" w:asciiTheme="minorEastAsia" w:hAnsiTheme="minorEastAsia" w:cstheme="minorEastAsia"/>
          <w:sz w:val="24"/>
          <w:shd w:val="clear" w:color="auto" w:fill="ffffff" w:themeFill="background1"/>
        </w:rPr>
        <w:t xml:space="preserve">对于采用货币报价的项目，开标一览表中的投标总报价应与投标分项报价表中的投标总报价一致，如不一致，不作为无效投标处理，但评标时按开标一览表中价格为准。</w:t>
      </w:r>
      <w:r/>
    </w:p>
    <w:p>
      <w:pPr>
        <w:ind w:firstLine="480"/>
        <w:spacing w:line="500" w:lineRule="exact"/>
        <w:widowControl w:val="off"/>
        <w:rPr>
          <w:rFonts w:hint="eastAsia" w:ascii="宋体" w:hAnsi="宋体" w:eastAsia="宋体" w:cs="宋体"/>
          <w:color w:val="000000"/>
          <w:sz w:val="24"/>
        </w:rPr>
      </w:pPr>
      <w:r/>
      <w:bookmarkStart w:id="115" w:name="_Toc14577360"/>
      <w:r/>
      <w:bookmarkStart w:id="116" w:name="_Toc49090511"/>
      <w:r>
        <w:rPr>
          <w:rFonts w:hint="eastAsia" w:ascii="宋体" w:hAnsi="宋体" w:eastAsia="宋体" w:cs="宋体"/>
          <w:color w:val="000000"/>
          <w:sz w:val="24"/>
        </w:rPr>
        <w:t xml:space="preserve">16、投标有效期</w:t>
      </w:r>
      <w:bookmarkEnd w:id="115"/>
      <w:r/>
      <w:bookmarkEnd w:id="116"/>
      <w:r/>
      <w:r/>
    </w:p>
    <w:p>
      <w:pPr>
        <w:ind w:firstLine="480"/>
        <w:spacing w:line="500" w:lineRule="exact"/>
        <w:widowControl w:val="off"/>
        <w:rPr>
          <w:rFonts w:hint="eastAsia"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16.1</w:t>
      </w:r>
      <w:r>
        <w:rPr>
          <w:rFonts w:hint="eastAsia" w:asciiTheme="minorEastAsia" w:hAnsiTheme="minorEastAsia" w:cstheme="minorEastAsia"/>
          <w:sz w:val="24"/>
          <w:shd w:val="clear" w:color="auto" w:fill="ffffff" w:themeFill="background1"/>
        </w:rPr>
        <w:t xml:space="preserve">投标有效期为采购代理机构规定的开标之日后九十（90）天。投标有效期比规定短的将被视为未实质性响应招标文件而予以拒绝。</w:t>
      </w:r>
      <w:r/>
    </w:p>
    <w:p>
      <w:pPr>
        <w:ind w:firstLine="480"/>
        <w:spacing w:line="500" w:lineRule="exact"/>
        <w:widowControl w:val="off"/>
        <w:rPr>
          <w:rFonts w:hint="eastAsia"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17、</w:t>
      </w:r>
      <w:r>
        <w:rPr>
          <w:rFonts w:hint="eastAsia" w:asciiTheme="minorEastAsia" w:hAnsiTheme="minorEastAsia" w:cstheme="minorEastAsia"/>
          <w:sz w:val="24"/>
          <w:shd w:val="clear" w:color="auto" w:fill="ffffff" w:themeFill="background1"/>
        </w:rPr>
        <w:t xml:space="preserve">投标有效期的延长</w:t>
      </w:r>
      <w:r/>
    </w:p>
    <w:p>
      <w:pPr>
        <w:ind w:firstLine="480"/>
        <w:spacing w:line="500" w:lineRule="exact"/>
        <w:widowControl w:val="off"/>
        <w:rPr>
          <w:rFonts w:hint="eastAsia"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17.1</w:t>
      </w:r>
      <w:r>
        <w:rPr>
          <w:rFonts w:hint="eastAsia" w:asciiTheme="minorEastAsia" w:hAnsiTheme="minorEastAsia" w:cstheme="minorEastAsia"/>
          <w:sz w:val="24"/>
          <w:shd w:val="clear" w:color="auto" w:fill="ffffff" w:themeFill="background1"/>
        </w:rPr>
        <w:t xml:space="preserve">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spacing w:line="500" w:lineRule="exact"/>
        <w:widowControl w:val="off"/>
        <w:rPr>
          <w:rFonts w:hint="eastAsia" w:asciiTheme="minorEastAsia" w:hAnsiTheme="minorEastAsia" w:cstheme="minorEastAsia"/>
          <w:b/>
          <w:bCs/>
          <w:sz w:val="24"/>
        </w:rPr>
      </w:pPr>
      <w:r/>
      <w:bookmarkStart w:id="117" w:name="_Toc513029224"/>
      <w:r/>
      <w:bookmarkStart w:id="118" w:name="_Toc16938540"/>
      <w:r/>
      <w:bookmarkStart w:id="119" w:name="_Toc120614217"/>
      <w:r/>
      <w:bookmarkStart w:id="120" w:name="_Toc20823296"/>
      <w:r>
        <w:rPr>
          <w:rFonts w:hint="eastAsia" w:asciiTheme="minorEastAsia" w:hAnsiTheme="minorEastAsia" w:cstheme="minorEastAsia"/>
          <w:b/>
          <w:bCs/>
          <w:sz w:val="24"/>
        </w:rPr>
        <w:t xml:space="preserve">四、投标文件的递交</w:t>
      </w:r>
      <w:bookmarkEnd w:id="117"/>
      <w:r/>
      <w:bookmarkEnd w:id="118"/>
      <w:r/>
      <w:bookmarkEnd w:id="119"/>
      <w:r/>
      <w:bookmarkEnd w:id="120"/>
      <w:r/>
      <w:r/>
    </w:p>
    <w:p>
      <w:pPr>
        <w:ind w:firstLine="480"/>
        <w:spacing w:line="500" w:lineRule="exact"/>
        <w:widowControl w:val="off"/>
        <w:rPr>
          <w:rFonts w:hint="eastAsia" w:asciiTheme="minorEastAsia" w:hAnsiTheme="minorEastAsia" w:cstheme="minorEastAsia"/>
          <w:sz w:val="24"/>
          <w:shd w:val="clear" w:color="auto" w:fill="ffffff" w:themeFill="background1"/>
        </w:rPr>
      </w:pPr>
      <w:r/>
      <w:bookmarkStart w:id="121" w:name="_Toc462564084"/>
      <w:r/>
      <w:bookmarkStart w:id="122" w:name="_Toc16938541"/>
      <w:r/>
      <w:bookmarkStart w:id="123" w:name="_Toc513029225"/>
      <w:r/>
      <w:bookmarkStart w:id="124" w:name="_Toc20823297"/>
      <w:r>
        <w:rPr>
          <w:rFonts w:hint="eastAsia" w:ascii="宋体" w:hAnsi="宋体" w:eastAsia="宋体" w:cs="宋体"/>
          <w:color w:val="000000"/>
          <w:sz w:val="24"/>
        </w:rPr>
        <w:t xml:space="preserve">18、电</w:t>
      </w:r>
      <w:r>
        <w:rPr>
          <w:rFonts w:hint="eastAsia" w:asciiTheme="minorEastAsia" w:hAnsiTheme="minorEastAsia" w:cstheme="minorEastAsia"/>
          <w:sz w:val="24"/>
          <w:shd w:val="clear" w:color="auto" w:fill="ffffff" w:themeFill="background1"/>
        </w:rPr>
        <w:t xml:space="preserve">子投标文件</w:t>
      </w:r>
      <w:bookmarkEnd w:id="121"/>
      <w:r/>
      <w:bookmarkEnd w:id="122"/>
      <w:r/>
      <w:bookmarkEnd w:id="123"/>
      <w:r/>
      <w:bookmarkEnd w:id="124"/>
      <w:r>
        <w:rPr>
          <w:rFonts w:hint="eastAsia" w:asciiTheme="minorEastAsia" w:hAnsiTheme="minorEastAsia" w:cstheme="minorEastAsia"/>
          <w:sz w:val="24"/>
          <w:shd w:val="clear" w:color="auto" w:fill="ffffff" w:themeFill="background1"/>
        </w:rPr>
        <w:t xml:space="preserve">的递交</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18.1投标人应当按照《操作手册》规定，在投标截止时间前制作并上传电子投标文件。</w:t>
      </w:r>
      <w:bookmarkStart w:id="125" w:name="_Toc20823298"/>
      <w:r/>
      <w:bookmarkEnd w:id="125"/>
      <w:r/>
      <w:bookmarkStart w:id="126" w:name="_Toc16938542"/>
      <w:r/>
      <w:bookmarkEnd w:id="126"/>
      <w:r/>
      <w:r/>
    </w:p>
    <w:p>
      <w:pPr>
        <w:ind w:firstLine="480"/>
        <w:spacing w:line="500" w:lineRule="exact"/>
        <w:widowControl w:val="off"/>
        <w:rPr>
          <w:rFonts w:hint="eastAsia" w:asciiTheme="minorEastAsia" w:hAnsiTheme="minorEastAsia" w:cstheme="minorEastAsia"/>
          <w:sz w:val="24"/>
          <w:shd w:val="clear" w:color="auto" w:fill="ffffff" w:themeFill="background1"/>
        </w:rPr>
      </w:pPr>
      <w:r>
        <w:rPr>
          <w:rFonts w:hint="eastAsia" w:ascii="宋体" w:hAnsi="宋体" w:eastAsia="宋体" w:cs="宋体"/>
          <w:color w:val="000000"/>
          <w:sz w:val="24"/>
        </w:rPr>
        <w:t xml:space="preserve">19、</w:t>
      </w:r>
      <w:r>
        <w:rPr>
          <w:rFonts w:hint="eastAsia" w:asciiTheme="minorEastAsia" w:hAnsiTheme="minorEastAsia" w:cstheme="minorEastAsia"/>
          <w:sz w:val="24"/>
          <w:shd w:val="clear" w:color="auto" w:fill="ffffff" w:themeFill="background1"/>
        </w:rPr>
        <w:t xml:space="preserve">投标截止日期</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i/>
          <w:color w:val="000000"/>
          <w:u w:val="single"/>
        </w:rPr>
        <w:t xml:space="preserve">19.1投标人上传电子投标文件的时间不得迟于招标公告中规定的投标截止时间。</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投标人应充分考虑到网络环境、网络带宽等风险因素，如因投标人自身原因造成的电子投标文件上传不成功的按照本招标文件第二章第27.1.2条规定做无效投标处理。</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19.2采购代理机构可以按照规定，通过修改招标文件酌情延长投标截止日期，在此情况下，投标人的所有权利和义务以及投标人受制的截止日期均应以延长后新的截止日期为准。</w:t>
      </w:r>
      <w:r/>
    </w:p>
    <w:p>
      <w:pPr>
        <w:pStyle w:val="682"/>
        <w:ind w:firstLine="480"/>
        <w:jc w:val="both"/>
        <w:spacing w:beforeAutospacing="0" w:afterAutospacing="0" w:line="500" w:lineRule="exact"/>
        <w:widowControl w:val="off"/>
        <w:rPr>
          <w:rFonts w:hint="eastAsia" w:ascii="宋体" w:hAnsi="宋体" w:eastAsia="宋体" w:cs="宋体"/>
          <w:color w:val="000000"/>
        </w:rPr>
      </w:pPr>
      <w:r/>
      <w:bookmarkStart w:id="127" w:name="_Toc513029227"/>
      <w:r/>
      <w:bookmarkStart w:id="128" w:name="_Toc16938543"/>
      <w:r/>
      <w:bookmarkStart w:id="129" w:name="_Toc20823299"/>
      <w:r>
        <w:rPr>
          <w:rFonts w:hint="eastAsia" w:ascii="宋体" w:hAnsi="宋体" w:eastAsia="宋体" w:cs="宋体"/>
          <w:color w:val="000000"/>
        </w:rPr>
        <w:t xml:space="preserve">20、投标文件</w:t>
      </w:r>
      <w:bookmarkEnd w:id="127"/>
      <w:r/>
      <w:bookmarkEnd w:id="128"/>
      <w:r/>
      <w:bookmarkEnd w:id="129"/>
      <w:r>
        <w:rPr>
          <w:rFonts w:hint="eastAsia" w:ascii="宋体" w:hAnsi="宋体" w:eastAsia="宋体" w:cs="宋体"/>
          <w:color w:val="000000"/>
        </w:rPr>
        <w:t xml:space="preserve">的拒收</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20.1采购代理机构拒绝接收在其规定的投标截止时间后上传的任何投标文件。</w:t>
      </w:r>
      <w:r/>
    </w:p>
    <w:p>
      <w:pPr>
        <w:pStyle w:val="682"/>
        <w:ind w:firstLine="480"/>
        <w:jc w:val="both"/>
        <w:spacing w:beforeAutospacing="0" w:afterAutospacing="0" w:line="500" w:lineRule="exact"/>
        <w:widowControl w:val="off"/>
        <w:rPr>
          <w:rFonts w:hint="eastAsia" w:ascii="宋体" w:hAnsi="宋体" w:eastAsia="宋体" w:cs="宋体"/>
          <w:color w:val="000000"/>
        </w:rPr>
      </w:pPr>
      <w:r/>
      <w:bookmarkStart w:id="130" w:name="_Toc16938544"/>
      <w:r/>
      <w:bookmarkStart w:id="131" w:name="_Toc513029228"/>
      <w:r/>
      <w:bookmarkStart w:id="132" w:name="_Toc20823300"/>
      <w:r>
        <w:rPr>
          <w:rFonts w:hint="eastAsia" w:ascii="宋体" w:hAnsi="宋体" w:eastAsia="宋体" w:cs="宋体"/>
          <w:color w:val="000000"/>
        </w:rPr>
        <w:t xml:space="preserve">21、投标文件的撤回和修改</w:t>
      </w:r>
      <w:bookmarkEnd w:id="130"/>
      <w:r/>
      <w:bookmarkEnd w:id="131"/>
      <w:r/>
      <w:bookmarkEnd w:id="132"/>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21.1投标文件的撤回</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21.1.1电子投标文件的撤回</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投标人可在投标截止时间前，撤回其电子投标文件，具体操作方法见《操作手册》。</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21.1.2投标人撤回电子投标文件，则认为其不再参与本项目投标活动。</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21.2投标文件的修改</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21.2.1投标人可在投标截止时间前，对其电子投标文件进行修改，具体操作方法见《操作手册》。</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21.2.2在投标截止时间之后，投标人不得对其电子投标文件作任何修改。</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21.3在投标截止时间至招标文件中规定的投标有效期满之间的这段时间内，投标人不得撤回其投标。</w:t>
      </w:r>
      <w:r/>
    </w:p>
    <w:p>
      <w:pPr>
        <w:spacing w:line="500" w:lineRule="exact"/>
        <w:widowControl w:val="off"/>
        <w:rPr>
          <w:rFonts w:hint="eastAsia" w:asciiTheme="minorEastAsia" w:hAnsiTheme="minorEastAsia" w:cstheme="minorEastAsia"/>
          <w:b/>
          <w:bCs/>
          <w:sz w:val="24"/>
        </w:rPr>
      </w:pPr>
      <w:r/>
      <w:bookmarkStart w:id="133" w:name="_Toc120614218"/>
      <w:r/>
      <w:bookmarkStart w:id="134" w:name="_Toc513029229"/>
      <w:r/>
      <w:bookmarkStart w:id="135" w:name="_Toc16938545"/>
      <w:r/>
      <w:bookmarkStart w:id="136" w:name="_Toc20823301"/>
      <w:r>
        <w:rPr>
          <w:rFonts w:hint="eastAsia" w:asciiTheme="minorEastAsia" w:hAnsiTheme="minorEastAsia" w:cstheme="minorEastAsia"/>
          <w:b/>
          <w:bCs/>
          <w:sz w:val="24"/>
        </w:rPr>
        <w:t xml:space="preserve">五、开标与评标</w:t>
      </w:r>
      <w:bookmarkEnd w:id="133"/>
      <w:r/>
      <w:bookmarkEnd w:id="134"/>
      <w:r/>
      <w:bookmarkEnd w:id="135"/>
      <w:r/>
      <w:bookmarkEnd w:id="136"/>
      <w:r/>
      <w:r/>
    </w:p>
    <w:p>
      <w:pPr>
        <w:pStyle w:val="682"/>
        <w:ind w:firstLine="480"/>
        <w:jc w:val="both"/>
        <w:spacing w:beforeAutospacing="0" w:afterAutospacing="0" w:line="500" w:lineRule="exact"/>
        <w:widowControl w:val="off"/>
        <w:rPr>
          <w:rFonts w:hint="eastAsia" w:ascii="宋体" w:hAnsi="宋体" w:eastAsia="宋体" w:cs="宋体"/>
          <w:color w:val="000000"/>
        </w:rPr>
      </w:pPr>
      <w:r/>
      <w:bookmarkStart w:id="137" w:name="_Toc513029230"/>
      <w:r/>
      <w:bookmarkStart w:id="138" w:name="_Toc16938546"/>
      <w:r/>
      <w:bookmarkStart w:id="139" w:name="_Toc20823302"/>
      <w:r>
        <w:rPr>
          <w:rFonts w:hint="eastAsia" w:ascii="宋体" w:hAnsi="宋体" w:eastAsia="宋体" w:cs="宋体"/>
          <w:color w:val="000000"/>
        </w:rPr>
        <w:t xml:space="preserve">22、开标</w:t>
      </w:r>
      <w:bookmarkEnd w:id="137"/>
      <w:r/>
      <w:bookmarkEnd w:id="138"/>
      <w:r/>
      <w:bookmarkEnd w:id="139"/>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22.1采购代理机构将在招标公告中规定的时间和地点组织公开开标。投标人应当按照《操作手册》规定，参加开标活动和在苏采云系统规定的时间内对投标文件进行解密。</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22.2开标仪式由采购代理机构组织。苏采云系统将自动对项目进行开标，并宣布各投标人名称和投标价格。</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22.3投标人在开标过程中涉及到的投标文件解密、开标结果确认等工作，应按照《操作手册》规定执行。</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22.4投标人如果对开标过程和开标记录有疑义，应当根据《操作手册》规定提出，如 苏采云系统中《开标记录表》宣布后5分钟内未提出的，视同认可开标结果。</w:t>
      </w:r>
      <w:r/>
    </w:p>
    <w:p>
      <w:pPr>
        <w:pStyle w:val="682"/>
        <w:ind w:firstLine="480"/>
        <w:jc w:val="both"/>
        <w:spacing w:beforeAutospacing="0" w:afterAutospacing="0" w:line="500" w:lineRule="exact"/>
        <w:widowControl w:val="off"/>
        <w:rPr>
          <w:rFonts w:hint="eastAsia" w:ascii="宋体" w:hAnsi="宋体" w:eastAsia="宋体" w:cs="宋体"/>
          <w:color w:val="000000"/>
        </w:rPr>
      </w:pPr>
      <w:r/>
      <w:bookmarkStart w:id="140" w:name="_Toc16938547"/>
      <w:r/>
      <w:bookmarkStart w:id="141" w:name="_Toc513029231"/>
      <w:r/>
      <w:bookmarkStart w:id="142" w:name="_Toc20823303"/>
      <w:r>
        <w:rPr>
          <w:rFonts w:hint="eastAsia" w:ascii="宋体" w:hAnsi="宋体" w:eastAsia="宋体" w:cs="宋体"/>
          <w:color w:val="000000"/>
        </w:rPr>
        <w:t xml:space="preserve">23、评标委员会</w:t>
      </w:r>
      <w:bookmarkEnd w:id="140"/>
      <w:r/>
      <w:bookmarkEnd w:id="141"/>
      <w:r/>
      <w:bookmarkEnd w:id="142"/>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23.1开标后，采购代理机构将立即组织评标委员会（以下简称评委会）进行评标。</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23.2评委会由采购人代表和有关技术、经济等方面的专家组成，且人员构成符合政府采购有关规定。</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23.3评委会独立工作，负责评审所有投标文件并确定中标候选人。</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24、评标过程的保密与公正</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24.1凡是与审查、澄清、评价和比较投标的有关资料以及授标建议等，采购人、评委、采购代理机构均不得向投标人或与评标无关的其他人员透露。</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24.2在评标过程中，投标人不得以任何行为影响评标过程，否则其投标文件将被作为无效投标文件。</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24.3采购代理机构和评标委员会不向未中标的投标人解释未中标原因，也不公布评标过程中的相关细节。</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24.4采用综合评分法的项目，未中标的投标人可于中标结果公告期限届满之日起通过苏采云系统查看自己的评审得分及排序情况。</w:t>
      </w:r>
      <w:r/>
    </w:p>
    <w:p>
      <w:pPr>
        <w:pStyle w:val="682"/>
        <w:ind w:firstLine="480"/>
        <w:jc w:val="both"/>
        <w:spacing w:beforeAutospacing="0" w:afterAutospacing="0" w:line="500" w:lineRule="exact"/>
        <w:widowControl w:val="off"/>
        <w:rPr>
          <w:rFonts w:hint="eastAsia" w:ascii="宋体" w:hAnsi="宋体" w:eastAsia="宋体" w:cs="宋体"/>
          <w:color w:val="000000"/>
        </w:rPr>
      </w:pPr>
      <w:r/>
      <w:bookmarkStart w:id="143" w:name="_Toc513029232"/>
      <w:r/>
      <w:bookmarkStart w:id="144" w:name="_Toc16938548"/>
      <w:r/>
      <w:bookmarkStart w:id="145" w:name="_Toc20823304"/>
      <w:r>
        <w:rPr>
          <w:rFonts w:hint="eastAsia" w:ascii="宋体" w:hAnsi="宋体" w:eastAsia="宋体" w:cs="宋体"/>
          <w:color w:val="000000"/>
        </w:rPr>
        <w:t xml:space="preserve">25、投标文件的澄清</w:t>
      </w:r>
      <w:bookmarkEnd w:id="143"/>
      <w:r/>
      <w:bookmarkEnd w:id="144"/>
      <w:r/>
      <w:bookmarkEnd w:id="145"/>
      <w:r/>
      <w:r/>
    </w:p>
    <w:p>
      <w:pPr>
        <w:pStyle w:val="682"/>
        <w:ind w:firstLine="480"/>
        <w:jc w:val="both"/>
        <w:spacing w:beforeAutospacing="0" w:afterAutospacing="0" w:line="500" w:lineRule="exact"/>
        <w:widowControl w:val="off"/>
        <w:rPr>
          <w:rFonts w:hint="eastAsia" w:ascii="宋体" w:hAnsi="宋体" w:eastAsia="宋体" w:cs="宋体"/>
          <w:color w:val="000000"/>
        </w:rPr>
      </w:pPr>
      <w:r/>
      <w:bookmarkStart w:id="146" w:name="_Toc20823305"/>
      <w:r/>
      <w:bookmarkStart w:id="147" w:name="_Toc513029233"/>
      <w:r/>
      <w:bookmarkStart w:id="148" w:name="_Toc16938549"/>
      <w:r>
        <w:rPr>
          <w:rFonts w:hint="eastAsia" w:ascii="宋体" w:hAnsi="宋体" w:eastAsia="宋体" w:cs="宋体"/>
          <w:color w:val="000000"/>
        </w:rPr>
        <w:t xml:space="preserve">25.1评标期间，评委会对投标文件中含义不明确、同类问题表述不一致或者有明显文字和计算错误的内容 ，有权要求投标人作出必要的澄清、说明或者补正。</w:t>
      </w:r>
      <w:bookmarkEnd w:id="146"/>
      <w:r/>
      <w:bookmarkEnd w:id="147"/>
      <w:r/>
      <w:bookmarkEnd w:id="148"/>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投标人的澄清、说明或者补正不得超出投标文件的范围或者改变投标文件的实质性内容。</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评标委员会并非对每个投标人都做澄清要求。</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25.3接到评委会澄清、说明和补正要求的投标人如未按规定做出澄清、说明和补正，其风险由投标人自行承担。</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26、对投标文件的初审</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26.1投标文件初审分为资格审查和符合性审查。</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26.1.1资格审查：依据法律法规和招标文件的规定，由采购人对投标文件中的资格证明文件进行审查。资格审查的结论，采购人以书面形式向评委会进行反馈。</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采购人在进行资格性审查的同时，将在“信用中国”网站查询投标人的信用记录，以确定投标人是否具备投标资格,查询结果留存并归档。</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26.1.2符合性审查：依据招标文件的规定，由评委会从投标文件的有效性、完整性和对招标文件的响应程度进行审查，以确定是否对招标文件的实质性要求作出响应。</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26.1.3未通过资格审查或符合性审查的投标人，采购代理机构将在苏采云系统中告知未通过资格审查或符合性审查的原因，评审结束后，采购代理机构将不再告知未通过资格审查或符合性审查的原因。</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26.3如果投标文件实质上没有响应招标文件的要求，评委会将予以拒绝，投标人不得通过修改或撤销不符合要求的偏离或保留而使其投标成为实质性响应的投标。</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26.4评委会将对确定为实质性响应的投标进行进一步审核，看其是否有计算上或累加上的算术错误，修正错误的原则如下：</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（1）投标文件中开标一览表内容与投标文件中相应内容不一致的，以开标一览表为准。</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（2）大写金额和小写金额不一致的，以大写金额为准。</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（3）单价金额小数点或者百分比有明显错位的，以开标一览表的总价为准，并修改单价。</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（4）总价金额与按单价汇总金额不一致的，以单价金额计算结果为准。</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同时出现两种以上错误的，按照前款规定的顺序修正。</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82"/>
        <w:ind w:firstLine="480"/>
        <w:jc w:val="both"/>
        <w:spacing w:beforeAutospacing="0" w:afterAutospacing="0" w:line="500" w:lineRule="exact"/>
        <w:widowControl w:val="off"/>
        <w:rPr>
          <w:rFonts w:hint="eastAsia" w:ascii="宋体" w:hAnsi="宋体" w:eastAsia="宋体" w:cs="宋体"/>
          <w:color w:val="000000"/>
        </w:rPr>
      </w:pPr>
      <w:r/>
      <w:bookmarkStart w:id="149" w:name="_Toc16938550"/>
      <w:r/>
      <w:bookmarkStart w:id="150" w:name="_Toc513029234"/>
      <w:r/>
      <w:bookmarkStart w:id="151" w:name="_Toc20823306"/>
      <w:r>
        <w:rPr>
          <w:rFonts w:hint="eastAsia" w:ascii="宋体" w:hAnsi="宋体" w:eastAsia="宋体" w:cs="宋体"/>
          <w:color w:val="00000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9"/>
      <w:r/>
      <w:bookmarkEnd w:id="150"/>
      <w:r/>
      <w:bookmarkEnd w:id="151"/>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非单一产品采购项目，招标文件中将载明其中的核心产品。多家投标人提供的核心产品品牌相同的，按前两款规定处理。</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26.7投标人在开、评标全过程中应保持通讯畅通，及时登录苏采云系统查阅、答复相关信息，并安排专人与采购代理机构及评标委员会联系。</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27、无效投标条款和废标条款</w:t>
      </w:r>
      <w:r/>
    </w:p>
    <w:p>
      <w:pPr>
        <w:pStyle w:val="682"/>
        <w:ind w:firstLine="480"/>
        <w:jc w:val="both"/>
        <w:spacing w:beforeAutospacing="0" w:afterAutospacing="0" w:line="500" w:lineRule="exact"/>
        <w:widowControl w:val="off"/>
        <w:rPr>
          <w:rFonts w:hint="eastAsia" w:ascii="宋体" w:hAnsi="宋体" w:eastAsia="宋体" w:cs="宋体"/>
          <w:color w:val="000000"/>
        </w:rPr>
      </w:pPr>
      <w:r/>
      <w:bookmarkStart w:id="152" w:name="_Toc513029235"/>
      <w:r/>
      <w:bookmarkStart w:id="153" w:name="_Toc16938551"/>
      <w:r/>
      <w:bookmarkStart w:id="154" w:name="_Toc20823307"/>
      <w:r>
        <w:rPr>
          <w:rFonts w:hint="eastAsia" w:ascii="宋体" w:hAnsi="宋体" w:eastAsia="宋体" w:cs="宋体"/>
          <w:color w:val="000000"/>
        </w:rPr>
        <w:t xml:space="preserve">27.1无效投标条款</w:t>
      </w:r>
      <w:bookmarkEnd w:id="152"/>
      <w:r/>
      <w:bookmarkEnd w:id="153"/>
      <w:r/>
      <w:bookmarkEnd w:id="154"/>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27.1.1投标人在苏采云系统规定的时间内未成功解密电子投标文件的。</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27.1.2投标人未按照招标文件要求上传电子投标文件的。</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27.1.3同一投标人提交两个（含两个）以上不同的投标报价的。</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27.1.4投标人不具备招标文件中规定资格要求的。</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27.1.5投标人的报价超过了采购预算或最高限价的。</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27.1.6未通过符合性审查的。</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27.1.7不符合招标文件中规定的实质性要求和条件的（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27.1.8投标人被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27.1.9投标文件含有采购人不能接受的附加条件的。</w:t>
      </w:r>
      <w:r/>
    </w:p>
    <w:p>
      <w:pPr>
        <w:pStyle w:val="682"/>
        <w:jc w:val="both"/>
        <w:spacing w:beforeAutospacing="0" w:afterAutospacing="0" w:line="500" w:lineRule="exact"/>
        <w:widowControl w:val="off"/>
        <w:rPr>
          <w:rFonts w:hint="eastAsia" w:ascii="宋体" w:hAnsi="宋体" w:eastAsia="宋体" w:cs="宋体"/>
        </w:rPr>
      </w:pPr>
      <w:r/>
      <w:bookmarkStart w:id="155" w:name="OLE_LINK3"/>
      <w:r>
        <w:rPr>
          <w:rFonts w:hint="eastAsia" w:ascii="宋体" w:hAnsi="宋体" w:eastAsia="宋体" w:cs="宋体"/>
        </w:rPr>
        <w:t xml:space="preserve">27.1.10投标人不能证明其报价合理性的，评标委员会应当将其作为无效投标处理。</w:t>
      </w:r>
      <w:bookmarkEnd w:id="155"/>
      <w:r/>
      <w:r/>
    </w:p>
    <w:p>
      <w:pPr>
        <w:pStyle w:val="682"/>
        <w:jc w:val="both"/>
        <w:spacing w:beforeAutospacing="0" w:afterAutospacing="0" w:line="500" w:lineRule="exact"/>
        <w:rPr>
          <w:rFonts w:hint="eastAsia" w:ascii="宋体" w:hAnsi="宋体" w:eastAsia="宋体" w:cs="宋体"/>
          <w:b/>
          <w:bCs/>
          <w:color w:val="ff0000"/>
        </w:rPr>
      </w:pPr>
      <w:r>
        <w:rPr>
          <w:rFonts w:hint="eastAsia" w:ascii="宋体" w:hAnsi="宋体" w:eastAsia="宋体" w:cs="宋体"/>
          <w:b/>
          <w:bCs/>
          <w:color w:val="ff0000"/>
        </w:rPr>
        <w:t xml:space="preserve">（一）评审过程中出现下列情形之一的，评标委员会应当启动异常低价投标审查程序：</w:t>
      </w:r>
      <w:r/>
    </w:p>
    <w:p>
      <w:pPr>
        <w:pStyle w:val="682"/>
        <w:jc w:val="both"/>
        <w:spacing w:beforeAutospacing="0" w:afterAutospacing="0" w:line="500" w:lineRule="exact"/>
        <w:rPr>
          <w:rFonts w:hint="eastAsia" w:ascii="宋体" w:hAnsi="宋体" w:eastAsia="宋体" w:cs="宋体"/>
          <w:b/>
          <w:bCs/>
          <w:color w:val="ff0000"/>
        </w:rPr>
      </w:pPr>
      <w:r>
        <w:rPr>
          <w:rFonts w:hint="eastAsia" w:ascii="宋体" w:hAnsi="宋体" w:eastAsia="宋体" w:cs="宋体"/>
          <w:b/>
          <w:bCs/>
          <w:color w:val="ff0000"/>
        </w:rPr>
        <w:t xml:space="preserve">1.投标（响应）报价低于全部通过符合性审查供应商投标（响应）报价平均值50%的，即投标（响应）报价&lt;全部通过符合性审查供应商投标（响应）报价平均值×50%；</w:t>
      </w:r>
      <w:r/>
    </w:p>
    <w:p>
      <w:pPr>
        <w:pStyle w:val="682"/>
        <w:jc w:val="both"/>
        <w:spacing w:beforeAutospacing="0" w:afterAutospacing="0" w:line="500" w:lineRule="exact"/>
        <w:rPr>
          <w:rFonts w:hint="eastAsia" w:ascii="宋体" w:hAnsi="宋体" w:eastAsia="宋体" w:cs="宋体"/>
          <w:b/>
          <w:bCs/>
          <w:color w:val="ff0000"/>
        </w:rPr>
      </w:pPr>
      <w:r>
        <w:rPr>
          <w:rFonts w:hint="eastAsia" w:ascii="宋体" w:hAnsi="宋体" w:eastAsia="宋体" w:cs="宋体"/>
          <w:b/>
          <w:bCs/>
          <w:color w:val="ff0000"/>
        </w:rPr>
        <w:t xml:space="preserve">2.投标（响应）报价低于通过符合性审查的次低报价供应商投标（响应）报价50%的，即投标（响应）报价&lt;通过符合性审查的次低报价供应商投标（响应）报价×50%；</w:t>
      </w:r>
      <w:r/>
    </w:p>
    <w:p>
      <w:pPr>
        <w:pStyle w:val="682"/>
        <w:jc w:val="both"/>
        <w:spacing w:beforeAutospacing="0" w:afterAutospacing="0" w:line="500" w:lineRule="exact"/>
        <w:rPr>
          <w:rFonts w:hint="eastAsia" w:ascii="宋体" w:hAnsi="宋体" w:eastAsia="宋体" w:cs="宋体"/>
          <w:b/>
          <w:bCs/>
          <w:color w:val="ff0000"/>
        </w:rPr>
      </w:pPr>
      <w:r>
        <w:rPr>
          <w:rFonts w:hint="eastAsia" w:ascii="宋体" w:hAnsi="宋体" w:eastAsia="宋体" w:cs="宋体"/>
          <w:b/>
          <w:bCs/>
          <w:color w:val="ff0000"/>
        </w:rPr>
        <w:t xml:space="preserve">3.投标（响应）报价低于采购项目最高限价</w:t>
      </w:r>
      <w:r>
        <w:rPr>
          <w:rFonts w:hint="eastAsia" w:ascii="宋体" w:hAnsi="宋体" w:eastAsia="宋体" w:cs="宋体"/>
          <w:b/>
          <w:bCs/>
          <w:color w:val="ff0000"/>
          <w:lang w:val="en-US" w:eastAsia="zh-CN"/>
        </w:rPr>
        <w:t xml:space="preserve">6</w:t>
      </w:r>
      <w:r>
        <w:rPr>
          <w:rFonts w:hint="eastAsia" w:ascii="宋体" w:hAnsi="宋体" w:eastAsia="宋体" w:cs="宋体"/>
          <w:b/>
          <w:bCs/>
          <w:color w:val="ff0000"/>
        </w:rPr>
        <w:t xml:space="preserve">5%的，即投标（响应）报价&lt;采购项目最高限价×</w:t>
      </w:r>
      <w:r>
        <w:rPr>
          <w:rFonts w:hint="eastAsia" w:ascii="宋体" w:hAnsi="宋体" w:eastAsia="宋体" w:cs="宋体"/>
          <w:b/>
          <w:bCs/>
          <w:color w:val="ff0000"/>
          <w:lang w:val="en-US" w:eastAsia="zh-CN"/>
        </w:rPr>
        <w:t xml:space="preserve">65%</w:t>
      </w:r>
      <w:r>
        <w:rPr>
          <w:rFonts w:hint="eastAsia" w:ascii="宋体" w:hAnsi="宋体" w:eastAsia="宋体" w:cs="宋体"/>
          <w:b/>
          <w:bCs/>
          <w:color w:val="ff0000"/>
        </w:rPr>
        <w:t xml:space="preserve">；</w:t>
      </w:r>
      <w:r/>
    </w:p>
    <w:p>
      <w:pPr>
        <w:pStyle w:val="682"/>
        <w:jc w:val="both"/>
        <w:spacing w:beforeAutospacing="0" w:afterAutospacing="0" w:line="500" w:lineRule="exact"/>
        <w:rPr>
          <w:rFonts w:hint="eastAsia" w:ascii="宋体" w:hAnsi="宋体" w:eastAsia="宋体" w:cs="宋体"/>
          <w:b/>
          <w:bCs/>
          <w:color w:val="ff0000"/>
        </w:rPr>
      </w:pPr>
      <w:r>
        <w:rPr>
          <w:rFonts w:hint="eastAsia" w:ascii="宋体" w:hAnsi="宋体" w:eastAsia="宋体" w:cs="宋体"/>
          <w:b/>
          <w:bCs/>
          <w:color w:val="ff0000"/>
        </w:rPr>
        <w:t xml:space="preserve">4.评审委员会基于专业判断，认为供应商报价过低，有可能影响产品质量或者不能诚信履约的其他情形。</w:t>
      </w:r>
      <w:r/>
    </w:p>
    <w:p>
      <w:pPr>
        <w:pStyle w:val="682"/>
        <w:jc w:val="both"/>
        <w:spacing w:beforeAutospacing="0" w:afterAutospacing="0" w:line="500" w:lineRule="exact"/>
        <w:rPr>
          <w:rFonts w:hint="eastAsia" w:ascii="宋体" w:hAnsi="宋体" w:eastAsia="宋体" w:cs="宋体"/>
          <w:b/>
          <w:bCs/>
          <w:color w:val="ff0000"/>
          <w:u w:val="single"/>
        </w:rPr>
      </w:pPr>
      <w:r>
        <w:rPr>
          <w:rFonts w:hint="eastAsia" w:ascii="宋体" w:hAnsi="宋体" w:eastAsia="宋体" w:cs="宋体"/>
          <w:b/>
          <w:bCs/>
          <w:color w:val="ff0000"/>
          <w:u w:val="single"/>
        </w:rPr>
        <w:t xml:space="preserve">提醒：采购人可以结合具体项目实际情况，提高上述第1项至第3项中启动异常低价投标（响应）审查的数值标准，但是最高不得超过65%。</w:t>
      </w:r>
      <w:r/>
    </w:p>
    <w:p>
      <w:pPr>
        <w:pStyle w:val="682"/>
        <w:jc w:val="both"/>
        <w:spacing w:beforeAutospacing="0" w:afterAutospacing="0" w:line="500" w:lineRule="exact"/>
        <w:rPr>
          <w:rFonts w:hint="eastAsia" w:ascii="宋体" w:hAnsi="宋体" w:eastAsia="宋体" w:cs="宋体"/>
          <w:b/>
          <w:bCs/>
          <w:color w:val="ff0000"/>
        </w:rPr>
      </w:pPr>
      <w:r>
        <w:rPr>
          <w:rFonts w:hint="eastAsia" w:ascii="宋体" w:hAnsi="宋体" w:eastAsia="宋体" w:cs="宋体"/>
          <w:b/>
          <w:bCs/>
          <w:color w:val="ff0000"/>
        </w:rPr>
        <w:t xml:space="preserve">相关法律法规对供应商报价有规定的，从其规定。</w:t>
      </w:r>
      <w:r/>
    </w:p>
    <w:p>
      <w:pPr>
        <w:pStyle w:val="682"/>
        <w:jc w:val="both"/>
        <w:spacing w:beforeAutospacing="0" w:afterAutospacing="0" w:line="500" w:lineRule="exact"/>
        <w:rPr>
          <w:rFonts w:hint="eastAsia" w:ascii="宋体" w:hAnsi="宋体" w:eastAsia="宋体" w:cs="宋体"/>
          <w:b/>
          <w:bCs/>
          <w:color w:val="ff0000"/>
        </w:rPr>
      </w:pPr>
      <w:r>
        <w:rPr>
          <w:rFonts w:hint="eastAsia" w:ascii="宋体" w:hAnsi="宋体" w:eastAsia="宋体" w:cs="宋体"/>
          <w:b/>
          <w:bCs/>
          <w:color w:val="ff000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82"/>
        <w:jc w:val="both"/>
        <w:spacing w:beforeAutospacing="0" w:afterAutospacing="0" w:line="500" w:lineRule="exact"/>
        <w:rPr>
          <w:rFonts w:hint="eastAsia" w:ascii="宋体" w:hAnsi="宋体" w:eastAsia="宋体" w:cs="宋体"/>
          <w:b/>
          <w:bCs/>
          <w:color w:val="ff0000"/>
        </w:rPr>
      </w:pPr>
      <w:r>
        <w:rPr>
          <w:rFonts w:hint="eastAsia" w:ascii="宋体" w:hAnsi="宋体" w:eastAsia="宋体" w:cs="宋体"/>
          <w:b/>
          <w:bCs/>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82"/>
        <w:jc w:val="both"/>
        <w:spacing w:beforeAutospacing="0" w:afterAutospacing="0" w:line="500" w:lineRule="exact"/>
        <w:rPr>
          <w:rFonts w:hint="eastAsia" w:ascii="宋体" w:hAnsi="宋体" w:eastAsia="宋体" w:cs="宋体"/>
          <w:b/>
          <w:bCs/>
          <w:color w:val="ff0000"/>
        </w:rPr>
      </w:pPr>
      <w:r>
        <w:rPr>
          <w:rFonts w:hint="eastAsia" w:ascii="宋体" w:hAnsi="宋体" w:eastAsia="宋体" w:cs="宋体"/>
          <w:b/>
          <w:bCs/>
          <w:color w:val="ff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82"/>
        <w:jc w:val="both"/>
        <w:spacing w:beforeAutospacing="0" w:afterAutospacing="0" w:line="500" w:lineRule="exact"/>
        <w:rPr>
          <w:rFonts w:hint="eastAsia" w:ascii="宋体" w:hAnsi="宋体" w:eastAsia="宋体" w:cs="宋体"/>
          <w:b/>
          <w:bCs/>
          <w:color w:val="ff0000"/>
        </w:rPr>
      </w:pPr>
      <w:r>
        <w:rPr>
          <w:rFonts w:hint="eastAsia" w:ascii="宋体" w:hAnsi="宋体" w:eastAsia="宋体" w:cs="宋体"/>
          <w:b/>
          <w:bCs/>
          <w:color w:val="ff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rPr>
        <w:t xml:space="preserve">27.1.11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rPr>
        <w:t xml:space="preserve">27.1.12投标文件未按照招标文件要求加盖CA电子公章的。</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rPr>
        <w:t xml:space="preserve">27.1.13其他法律、法规及本招标文件规定的属无效投标的情形。</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rPr>
        <w:t xml:space="preserve">27.2废标条款</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rPr>
        <w:t xml:space="preserve">27.2.1符合专业条件的供应商或者对招标文件作实质响应的供应商不足三家的。</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rPr>
        <w:t xml:space="preserve">27.2.2出现影响采购公正的违法、违规行为的。</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rPr>
        <w:t xml:space="preserve">27.2.3因重大变故，采购任务取消的。</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rPr>
        <w:t xml:space="preserve">27.2.5因苏采云系统系统故障原因造成开标不成功的。</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rPr>
        <w:t xml:space="preserve">27.3投标截止时间结束后参加投标的供应商不足三家的处理：</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rPr>
        <w:t xml:space="preserve">27.3.1如出现投标截止时间结束后参加投标的供应商或者</w:t>
      </w:r>
      <w:r>
        <w:rPr>
          <w:rFonts w:hint="eastAsia" w:ascii="宋体" w:hAnsi="宋体" w:eastAsia="宋体" w:cs="宋体"/>
          <w:color w:val="000000"/>
        </w:rPr>
        <w:t xml:space="preserve">在评标期间对招标文件做出实质响应的供应商不足三家情况，按政府采购相关规定执行。</w:t>
      </w:r>
      <w:r/>
    </w:p>
    <w:p>
      <w:pPr>
        <w:spacing w:line="500" w:lineRule="exact"/>
        <w:widowControl w:val="off"/>
        <w:rPr>
          <w:rFonts w:hint="eastAsia" w:asciiTheme="minorEastAsia" w:hAnsiTheme="minorEastAsia" w:cstheme="minorEastAsia"/>
          <w:b/>
          <w:bCs/>
          <w:sz w:val="24"/>
        </w:rPr>
      </w:pPr>
      <w:r/>
      <w:bookmarkStart w:id="156" w:name="_Toc120614219"/>
      <w:r>
        <w:rPr>
          <w:rFonts w:hint="eastAsia" w:asciiTheme="minorEastAsia" w:hAnsiTheme="minorEastAsia" w:cstheme="minorEastAsia"/>
          <w:b/>
          <w:bCs/>
          <w:sz w:val="24"/>
        </w:rPr>
        <w:t xml:space="preserve">六、定标</w:t>
      </w:r>
      <w:bookmarkEnd w:id="156"/>
      <w:r/>
      <w:r/>
    </w:p>
    <w:p>
      <w:pPr>
        <w:pStyle w:val="682"/>
        <w:ind w:firstLine="480"/>
        <w:jc w:val="both"/>
        <w:spacing w:beforeAutospacing="0" w:afterAutospacing="0" w:line="500" w:lineRule="exact"/>
        <w:widowControl w:val="off"/>
        <w:rPr>
          <w:rFonts w:hint="eastAsia" w:ascii="宋体" w:hAnsi="宋体" w:eastAsia="宋体" w:cs="宋体"/>
          <w:color w:val="000000"/>
        </w:rPr>
      </w:pPr>
      <w:r/>
      <w:bookmarkStart w:id="157" w:name="_Toc20823310"/>
      <w:r/>
      <w:bookmarkStart w:id="158" w:name="_Toc513029238"/>
      <w:r/>
      <w:bookmarkStart w:id="159" w:name="_Toc16938554"/>
      <w:r>
        <w:rPr>
          <w:rFonts w:hint="eastAsia" w:ascii="宋体" w:hAnsi="宋体" w:eastAsia="宋体" w:cs="宋体"/>
          <w:color w:val="000000"/>
        </w:rPr>
        <w:t xml:space="preserve">28、</w:t>
      </w:r>
      <w:bookmarkEnd w:id="157"/>
      <w:r>
        <w:rPr>
          <w:rFonts w:hint="eastAsia" w:ascii="宋体" w:hAnsi="宋体" w:eastAsia="宋体" w:cs="宋体"/>
          <w:color w:val="000000"/>
        </w:rPr>
        <w:t xml:space="preserve">确定</w:t>
      </w:r>
      <w:bookmarkEnd w:id="158"/>
      <w:r/>
      <w:bookmarkEnd w:id="159"/>
      <w:r>
        <w:rPr>
          <w:rFonts w:hint="eastAsia" w:ascii="宋体" w:hAnsi="宋体" w:eastAsia="宋体" w:cs="宋体"/>
          <w:color w:val="000000"/>
        </w:rPr>
        <w:t xml:space="preserve">中标单位</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28.1中标候选人的选取原则和数量见招标文件第五章规定。 </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28.2采购人应根据评委会推荐的中标候选人确定中标人。</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28.3采购代理机构将在“中国政府采购网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发布中标公告，公告期限为1个工作日。</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28.4若有充分证据证明，中标人出现下列情况之一的，一经查实，将被取消中标资格：</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28.4.1提供虚假材料谋取中标的。</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28.4.2向采购人、采购代理机构行贿或者提供其他不正当利益的。</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28.4.3属于本文件规定的无效条件，但在评标过程中又未被评委会发现的。</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28.4.4与采购人或者其他供应商恶意串通的。</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28.4.5采取不正当手段诋毁、排挤其他供应商的。</w:t>
      </w:r>
      <w:r/>
    </w:p>
    <w:p>
      <w:pPr>
        <w:pStyle w:val="682"/>
        <w:ind w:firstLine="480"/>
        <w:jc w:val="both"/>
        <w:spacing w:beforeAutospacing="0" w:afterAutospacing="0" w:line="500" w:lineRule="exact"/>
        <w:widowControl w:val="off"/>
        <w:rPr>
          <w:rFonts w:hint="eastAsia" w:ascii="宋体" w:hAnsi="宋体" w:eastAsia="宋体" w:cs="宋体"/>
        </w:rPr>
      </w:pPr>
      <w:r/>
      <w:bookmarkStart w:id="160" w:name="_Toc200451960"/>
      <w:r>
        <w:rPr>
          <w:rFonts w:hint="eastAsia" w:ascii="宋体" w:hAnsi="宋体" w:eastAsia="宋体" w:cs="宋体"/>
          <w:color w:val="000000"/>
        </w:rPr>
        <w:t xml:space="preserve">28.5.有下列情形之一的，视为投标人串通投标，投标无效：</w:t>
      </w:r>
      <w:bookmarkEnd w:id="160"/>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28.5.1不同投标人的投标文件由同一单位或者个人编制；</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28.5.2不同投标人委托同一单位或者个人办理投标事宜；</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28.5.3不同投标人的投标文件载明的项目管理成员或者联系人员为同一人；</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28.5.4不同投标人的投标文件异常一致或者投标报价呈规律性差异；</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29、质疑处理</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29.1提出质疑的供应商应当是参与所质疑项目采购活动的供应商。潜在供应商依法获取其可质疑的采购文件的，可以对采购文件提出质疑。</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29.2.1对可以质疑的采购文件提出质疑的，为收到采购文件之日或者采购文件公告期限届满之日；</w:t>
      </w:r>
      <w:r/>
    </w:p>
    <w:p>
      <w:pPr>
        <w:pStyle w:val="682"/>
        <w:ind w:left="479" w:firstLine="67"/>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29.2.2对采购过程提出质疑的，为各采购程序环节结束之日；</w:t>
      </w:r>
      <w:r/>
    </w:p>
    <w:p>
      <w:pPr>
        <w:pStyle w:val="682"/>
        <w:ind w:left="479" w:firstLine="67"/>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29.2.3对中标或者成交结果提出质疑的，为中标或者成交结果公告期限届满之日。</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29.4供应</w:t>
      </w:r>
      <w:r>
        <w:rPr>
          <w:rFonts w:hint="eastAsia" w:ascii="宋体" w:hAnsi="宋体" w:eastAsia="宋体" w:cs="宋体"/>
        </w:rPr>
        <w:t xml:space="preserve">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shd w:val="clear" w:color="auto" w:fill="ffffff" w:themeFill="background1"/>
        </w:rPr>
        <w:t xml:space="preserve">采购代理机构</w:t>
      </w:r>
      <w:r>
        <w:rPr>
          <w:rFonts w:hint="eastAsia" w:ascii="宋体" w:hAnsi="宋体" w:eastAsia="宋体" w:cs="宋体"/>
        </w:rPr>
        <w:t xml:space="preserve">提出，由</w:t>
      </w:r>
      <w:r>
        <w:rPr>
          <w:rFonts w:hint="eastAsia" w:ascii="宋体" w:hAnsi="宋体" w:eastAsia="宋体"/>
          <w:shd w:val="clear" w:color="auto" w:fill="ffffff" w:themeFill="background1"/>
        </w:rPr>
        <w:t xml:space="preserve">采购代理机构</w:t>
      </w:r>
      <w:r>
        <w:rPr>
          <w:rFonts w:hint="eastAsia" w:ascii="宋体" w:hAnsi="宋体" w:eastAsia="宋体" w:cs="宋体"/>
        </w:rPr>
        <w:t xml:space="preserve">负责答复。</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shd w:val="clear" w:color="auto" w:fill="ffffff" w:themeFill="background1"/>
        </w:rPr>
        <w:t xml:space="preserve">采购代理机构及采购人只接收以纸质原件形式送达的质疑,采购人和采购代理机构不接受未填写快递运单的快件。联系地址及联系方式同招标公告</w:t>
      </w:r>
      <w:r>
        <w:rPr>
          <w:rFonts w:hint="eastAsia" w:ascii="宋体" w:hAnsi="宋体" w:eastAsia="宋体" w:cs="宋体"/>
        </w:rPr>
        <w:t xml:space="preserve">。</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29.5以下情形的质疑不予受理</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29.5.1内容不符合《政府采购质疑和投诉办法》第十二条规定的质疑。</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29.5.2超出政府采购法定期限的质疑。</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29.5.3以传真、电子邮件等方式递交的非原件形式的质疑。</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29.5.4未参加投标活动的供应商或在投标活动中自身权益未受到损害的供应商所提出的质疑。</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29.5.5供应商组成联合体参加投标，联合体中任何一方或多方未按要求签字、盖章、加盖公章的质疑。</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30、中标通知书</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30.2中标通知书将是合同的一个组成部分。对采购人和中标供应商均具有法律效力。中标通知书发出后，采购人改变中标结果的，或者中标供应商放弃中标项目的，应当依法承担法律责任。</w:t>
      </w:r>
      <w:r/>
    </w:p>
    <w:p>
      <w:pPr>
        <w:spacing w:line="500" w:lineRule="exact"/>
        <w:widowControl w:val="off"/>
        <w:rPr>
          <w:rFonts w:hint="eastAsia" w:asciiTheme="minorEastAsia" w:hAnsiTheme="minorEastAsia" w:cstheme="minorEastAsia"/>
          <w:b/>
          <w:bCs/>
          <w:sz w:val="24"/>
        </w:rPr>
      </w:pPr>
      <w:r/>
      <w:bookmarkStart w:id="161" w:name="_Toc513029236"/>
      <w:r/>
      <w:bookmarkStart w:id="162" w:name="_Toc20823308"/>
      <w:r/>
      <w:bookmarkStart w:id="163" w:name="_Toc16938552"/>
      <w:r/>
      <w:bookmarkStart w:id="164" w:name="_Toc120614220"/>
      <w:r>
        <w:rPr>
          <w:rFonts w:hint="eastAsia" w:asciiTheme="minorEastAsia" w:hAnsiTheme="minorEastAsia" w:cstheme="minorEastAsia"/>
          <w:b/>
          <w:bCs/>
          <w:sz w:val="24"/>
        </w:rPr>
        <w:t xml:space="preserve">七、授予合同</w:t>
      </w:r>
      <w:bookmarkEnd w:id="161"/>
      <w:r/>
      <w:bookmarkEnd w:id="162"/>
      <w:r/>
      <w:bookmarkEnd w:id="163"/>
      <w:r/>
      <w:bookmarkEnd w:id="164"/>
      <w:r/>
      <w:r/>
    </w:p>
    <w:p>
      <w:pPr>
        <w:pStyle w:val="682"/>
        <w:ind w:firstLine="480"/>
        <w:jc w:val="both"/>
        <w:spacing w:beforeAutospacing="0" w:afterAutospacing="0" w:line="500" w:lineRule="exact"/>
        <w:widowControl w:val="off"/>
        <w:rPr>
          <w:rFonts w:hint="eastAsia" w:ascii="宋体" w:hAnsi="宋体" w:eastAsia="宋体" w:cs="宋体"/>
          <w:color w:val="000000"/>
        </w:rPr>
      </w:pPr>
      <w:r/>
      <w:bookmarkStart w:id="165" w:name="_Toc20823309"/>
      <w:r/>
      <w:bookmarkStart w:id="166" w:name="_Toc513029237"/>
      <w:r/>
      <w:bookmarkStart w:id="167" w:name="_Toc16938553"/>
      <w:r>
        <w:rPr>
          <w:rFonts w:hint="eastAsia" w:ascii="宋体" w:hAnsi="宋体" w:eastAsia="宋体" w:cs="宋体"/>
          <w:color w:val="000000"/>
        </w:rPr>
        <w:t xml:space="preserve">31、签订合同</w:t>
      </w:r>
      <w:bookmarkEnd w:id="165"/>
      <w:r/>
      <w:bookmarkEnd w:id="166"/>
      <w:r/>
      <w:bookmarkEnd w:id="167"/>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31.l中标人应当在中标通知书发出之日起三十日内，按照招标文件确定的事项与采购人签订政府采购合同。</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31.2招标文件、中标人的投标文件及招标过程中有关澄清、承诺文件均应作为合同附件。</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31.3签订合同后，</w:t>
      </w:r>
      <w:r>
        <w:rPr>
          <w:rFonts w:hint="eastAsia" w:ascii="宋体" w:hAnsi="宋体" w:eastAsia="宋体" w:cs="宋体"/>
          <w:i/>
          <w:iCs/>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32、货物（包含与货物相关的服务）的追加</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33、政府采购政策功能落实</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33.1政府采购线上合同信用融资政策</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33.2进口产品</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33.3中小企业、监狱企业及残疾人福利性单位</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33.3.1中小企业定义：</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中小企业</w:t>
      </w:r>
      <w:r>
        <w:rPr>
          <w:rFonts w:hint="eastAsia" w:ascii="宋体" w:hAnsi="宋体" w:eastAsia="宋体" w:cs="宋体"/>
          <w:color w:val="000000"/>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33.3.2供应商提供的货物、工程或者服务符合下列情形的，享受中小企业扶持政策：</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33.3.2.1在货物采购项目中，货物由中小企业制造，即货物由中小企业生产且使用该中小企业商号或者注册商标；</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33.3.2.2在工程采购项目中，工程由中小企业承建，即工程施工单位为中小企业；</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33.3.2.3在服务采购项目中，服务由中小企业承接，即提供服务的人员为中小企业依照《中华人民共和国劳动合同法》订立劳动合同的从业人员。</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33.3.3在货物采购项目中，供应商提供的货物既有中小企业制造货物，也有大型企业制造货物的，不享受中小企业扶持政策。</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33.3.4以联合体形式参加政府采购活动，联合体各方均为中小企业的，联合体视同中小企业。其中，联合体各方均为小微企业的，联合体视同小微企业。</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33.3.6残疾人福利单位定义：享受政府采购支持政策的残疾人福利性单位应当同时满足以下条件：</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33.3.6.1安置的残疾人占本单位在职职工人数的比例不低于25%（含25%），并且安置的残疾人人数不少于10 人（含10 人）；</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33.3.6.2依法与安置的每位残疾人签订了一年以上（含一年）的劳动合同或服务协议；</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33.3.6.3为安置的每位残疾人按月足额缴纳了基本养老保险、基本医疗保险、失业保险、工伤保险和生育保险等社会保险费；</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33.3.6.4通过银行等金融机构向安置的每位残疾人，按月支付了不低于单位所在区县适用的经省级人民政府批准的月最低工资标准的工资；</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33.3.6.5提供本单位制造的货物、承担的工程或者服务（以下简称产品），或者提供其他残疾人福利性单位制造的货物（不包括使用非残疾人福利性单位注册商标的货物）；</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33.3.7本项目是否专门面向中小企业预留采购份额见第一章《招标公告》。</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33.3.8采购标的对应的中小企业划分标准所属行业见第四章《采购需求》。</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33.3.9小微企业价格评审优惠的政策：见第五章《评标方法和评标标准》。</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33.4政府采购节能产品、环境标志产品</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w:t>
      </w:r>
      <w:r>
        <w:rPr>
          <w:rFonts w:hint="eastAsia" w:ascii="宋体" w:hAnsi="宋体" w:eastAsia="宋体" w:cs="宋体"/>
        </w:rPr>
        <w:t xml:space="preserve">时已正式公布的最近一期信息为准，</w:t>
      </w:r>
      <w:r>
        <w:rPr>
          <w:rFonts w:hint="eastAsia" w:ascii="宋体" w:hAnsi="宋体" w:eastAsia="宋体" w:cs="宋体"/>
          <w:b/>
          <w:i/>
        </w:rPr>
        <w:t xml:space="preserve">如属政府强制采购产品未提供认证证书的或认证证书提供不全的将视为未实质性响应采购要求</w:t>
      </w:r>
      <w:r>
        <w:rPr>
          <w:rFonts w:hint="eastAsia" w:ascii="宋体" w:hAnsi="宋体" w:eastAsia="宋体" w:cs="宋体"/>
          <w:i/>
        </w:rPr>
        <w:t xml:space="preserve">。</w:t>
      </w:r>
      <w:r>
        <w:rPr>
          <w:rFonts w:hint="eastAsia" w:ascii="宋体" w:hAnsi="宋体" w:eastAsia="宋体" w:cs="宋体"/>
          <w:color w:val="000000"/>
        </w:rPr>
        <w:t xml:space="preserve">其他条件相同情况下，应当优先采购节能产品、环境标志产品。</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33.5绿色包装</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33.6政府采购创新产品</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采购人优先采购各级政府部门公开发布的有效期内的创新产品、创新服务、首台套、首购首用等《目录》的创新产品。</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33.7绿色数据中心政策 </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本文件中若涉及到数据中心采购，采购人应依据《绿色数据中心政府采购需求标准（试行）》（财办库〔2023〕7号）文件精神</w:t>
      </w:r>
      <w:r>
        <w:rPr>
          <w:rFonts w:hint="eastAsia" w:ascii="宋体" w:hAnsi="宋体" w:eastAsia="宋体" w:cs="宋体"/>
          <w:color w:val="00000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line="500" w:lineRule="exact"/>
        <w:rPr>
          <w:rFonts w:hint="eastAsia" w:ascii="宋体" w:hAnsi="宋体" w:eastAsia="宋体" w:cs="宋体"/>
          <w:b/>
          <w:bCs/>
          <w:color w:val="ff0000"/>
          <w:sz w:val="24"/>
          <w:u w:val="none"/>
        </w:rPr>
      </w:pPr>
      <w:r>
        <w:rPr>
          <w:rFonts w:hint="eastAsia" w:ascii="宋体" w:hAnsi="宋体" w:eastAsia="宋体" w:cs="宋体"/>
          <w:b/>
          <w:bCs/>
          <w:color w:val="ff0000"/>
          <w:sz w:val="24"/>
          <w:u w:val="none"/>
        </w:rPr>
        <w:t xml:space="preserve">33.8实施本国产品标准及相关政策</w:t>
      </w:r>
      <w:r/>
    </w:p>
    <w:p>
      <w:pPr>
        <w:spacing w:line="500" w:lineRule="exact"/>
        <w:rPr>
          <w:rFonts w:hint="eastAsia" w:ascii="宋体" w:hAnsi="宋体" w:eastAsia="宋体" w:cs="宋体"/>
          <w:b/>
          <w:bCs/>
          <w:color w:val="ff0000"/>
          <w:sz w:val="24"/>
          <w:u w:val="none"/>
        </w:rPr>
      </w:pPr>
      <w:r>
        <w:rPr>
          <w:rFonts w:hint="eastAsia" w:ascii="宋体" w:hAnsi="宋体" w:eastAsia="宋体" w:cs="宋体"/>
          <w:b/>
          <w:bCs/>
          <w:color w:val="ff0000"/>
          <w:sz w:val="24"/>
          <w:u w:val="none"/>
        </w:rPr>
        <w:t xml:space="preserve">1.本项目对采购本国产品给予政策支持，具体内容见招标文件“第五章 评标方法与评标标准”。</w:t>
      </w:r>
      <w:r/>
    </w:p>
    <w:p>
      <w:pPr>
        <w:spacing w:line="500" w:lineRule="exact"/>
        <w:rPr>
          <w:rFonts w:hint="eastAsia" w:ascii="宋体" w:hAnsi="宋体" w:eastAsia="宋体" w:cs="宋体"/>
          <w:b/>
          <w:bCs/>
          <w:color w:val="ff0000"/>
          <w:sz w:val="24"/>
          <w:u w:val="none"/>
        </w:rPr>
      </w:pPr>
      <w:r>
        <w:rPr>
          <w:rFonts w:hint="eastAsia" w:ascii="宋体" w:hAnsi="宋体" w:eastAsia="宋体" w:cs="宋体"/>
          <w:b/>
          <w:bCs/>
          <w:color w:val="ff0000"/>
          <w:sz w:val="24"/>
          <w:u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500" w:lineRule="exact"/>
        <w:rPr>
          <w:rFonts w:hint="eastAsia" w:ascii="宋体" w:hAnsi="宋体" w:eastAsia="宋体" w:cs="宋体"/>
          <w:b/>
          <w:bCs/>
          <w:color w:val="ff0000"/>
          <w:sz w:val="24"/>
          <w:u w:val="none"/>
        </w:rPr>
      </w:pPr>
      <w:r>
        <w:rPr>
          <w:rFonts w:hint="eastAsia" w:ascii="宋体" w:hAnsi="宋体" w:eastAsia="宋体" w:cs="宋体"/>
          <w:b/>
          <w:bCs/>
          <w:color w:val="ff0000"/>
          <w:sz w:val="24"/>
          <w:u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500" w:lineRule="exact"/>
        <w:rPr>
          <w:rFonts w:hint="eastAsia" w:ascii="宋体" w:hAnsi="宋体" w:eastAsia="宋体" w:cs="宋体"/>
          <w:b/>
          <w:bCs/>
          <w:color w:val="ff0000"/>
          <w:sz w:val="24"/>
          <w:u w:val="single"/>
        </w:rPr>
      </w:pPr>
      <w:r>
        <w:rPr>
          <w:rFonts w:hint="eastAsia" w:ascii="宋体" w:hAnsi="宋体" w:eastAsia="宋体" w:cs="宋体"/>
          <w:b/>
          <w:bCs/>
          <w:color w:val="ff0000"/>
          <w:sz w:val="24"/>
          <w:u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33.9履约保证金政策</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确需收取履约保证金的，履约保证金的缴纳形式：</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 如以履约保函（保险）形式缴纳履约保证金，供应商可通过政府采购电子履约保函（保险）平台（www.jsdzbh.com）在线申请履约保函（保险）。</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34. 预付款制度</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本项目落实预付款制度，预付款比例为30%。在签订合同时，中标、成交供应商明确书面表示无需预付款或者主动要求降低预付款比例的，采购人可就预付款比例作相应调整。</w:t>
      </w:r>
      <w:r/>
    </w:p>
    <w:p>
      <w:pPr>
        <w:pStyle w:val="682"/>
        <w:ind w:firstLine="480"/>
        <w:jc w:val="both"/>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    </w:t>
      </w:r>
      <w:r/>
    </w:p>
    <w:p>
      <w:pPr>
        <w:ind w:firstLine="0"/>
        <w:spacing w:line="500" w:lineRule="exact"/>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r>
      <w:r/>
    </w:p>
    <w:p>
      <w:pPr>
        <w:pStyle w:val="686"/>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r>
      <w:r/>
    </w:p>
    <w:p>
      <w:pPr>
        <w:ind w:firstLine="0"/>
        <w:jc w:val="left"/>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br w:type="page" w:clear="all"/>
      </w:r>
      <w:r/>
    </w:p>
    <w:p>
      <w:pPr>
        <w:ind w:firstLine="2640"/>
        <w:spacing w:line="500" w:lineRule="exact"/>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r>
      <w:r/>
    </w:p>
    <w:p>
      <w:pPr>
        <w:ind w:firstLine="2640"/>
        <w:spacing w:line="500" w:lineRule="exact"/>
        <w:rPr>
          <w:rFonts w:ascii="方正小标宋_GBK" w:hAnsi="方正小标宋_GBK" w:eastAsia="方正小标宋_GBK" w:cs="方正小标宋_GBK"/>
          <w:color w:val="000000"/>
          <w:sz w:val="44"/>
          <w:szCs w:val="44"/>
        </w:rPr>
        <w:outlineLvl w:val="0"/>
      </w:pPr>
      <w:r>
        <w:rPr>
          <w:rFonts w:hint="eastAsia" w:ascii="方正小标宋_GBK" w:hAnsi="方正小标宋_GBK" w:eastAsia="方正小标宋_GBK" w:cs="方正小标宋_GBK"/>
          <w:color w:val="000000"/>
          <w:sz w:val="44"/>
          <w:szCs w:val="44"/>
        </w:rPr>
        <w:t xml:space="preserve">第三章  合同条款</w:t>
      </w:r>
      <w:r/>
    </w:p>
    <w:p>
      <w:pPr>
        <w:ind w:firstLine="420"/>
        <w:rPr>
          <w:rFonts w:hint="eastAsia" w:ascii="宋体" w:hAnsi="宋体" w:cs="宋体"/>
        </w:rPr>
      </w:pPr>
      <w:r/>
      <w:bookmarkStart w:id="168" w:name="EB6d2006462e294de090c16e672cecc3bd"/>
      <w:r/>
      <w:bookmarkEnd w:id="168"/>
      <w:r/>
      <w:r/>
    </w:p>
    <w:p>
      <w:pPr>
        <w:ind w:firstLine="884"/>
        <w:jc w:val="center"/>
        <w:rPr>
          <w:rFonts w:hint="eastAsia" w:ascii="宋体" w:hAnsi="宋体" w:cs="宋体"/>
          <w:b/>
          <w:bCs/>
          <w:spacing w:val="-20"/>
          <w:sz w:val="48"/>
          <w:szCs w:val="48"/>
        </w:rPr>
      </w:pPr>
      <w:r/>
      <w:bookmarkStart w:id="169" w:name="_Toc3995"/>
      <w:r/>
      <w:r/>
    </w:p>
    <w:p>
      <w:pPr>
        <w:ind w:firstLine="884"/>
        <w:jc w:val="center"/>
        <w:rPr>
          <w:rFonts w:hint="eastAsia" w:ascii="宋体" w:hAnsi="宋体" w:cs="宋体"/>
          <w:b/>
          <w:bCs/>
          <w:spacing w:val="-20"/>
          <w:sz w:val="48"/>
          <w:szCs w:val="48"/>
        </w:rPr>
      </w:pPr>
      <w:r>
        <w:rPr>
          <w:rFonts w:hint="eastAsia" w:ascii="宋体" w:hAnsi="宋体" w:cs="宋体"/>
          <w:b/>
          <w:bCs/>
          <w:spacing w:val="-20"/>
          <w:sz w:val="48"/>
          <w:szCs w:val="48"/>
        </w:rPr>
      </w:r>
      <w:r/>
    </w:p>
    <w:p>
      <w:pPr>
        <w:ind w:firstLine="884"/>
        <w:jc w:val="center"/>
        <w:rPr>
          <w:rFonts w:hint="eastAsia" w:ascii="宋体" w:hAnsi="宋体" w:cs="宋体"/>
          <w:b/>
          <w:bCs/>
          <w:spacing w:val="-20"/>
          <w:sz w:val="48"/>
          <w:szCs w:val="48"/>
        </w:rPr>
      </w:pPr>
      <w:r>
        <w:rPr>
          <w:rFonts w:hint="eastAsia" w:ascii="宋体" w:hAnsi="宋体" w:cs="宋体"/>
          <w:b/>
          <w:bCs/>
          <w:spacing w:val="-20"/>
          <w:sz w:val="48"/>
          <w:szCs w:val="48"/>
        </w:rPr>
      </w:r>
      <w:r/>
    </w:p>
    <w:p>
      <w:pPr>
        <w:ind w:firstLine="600"/>
        <w:jc w:val="center"/>
        <w:rPr>
          <w:rFonts w:hint="eastAsia" w:ascii="宋体" w:hAnsi="宋体" w:cs="宋体"/>
          <w:sz w:val="30"/>
        </w:rPr>
      </w:pPr>
      <w:r>
        <w:rPr>
          <w:rFonts w:hint="eastAsia" w:ascii="宋体" w:hAnsi="宋体" w:cs="宋体"/>
          <w:sz w:val="30"/>
        </w:rPr>
      </w:r>
      <w:r/>
    </w:p>
    <w:p>
      <w:pPr>
        <w:ind w:firstLine="0"/>
        <w:jc w:val="center"/>
        <w:rPr>
          <w:rFonts w:hint="eastAsia" w:ascii="宋体" w:hAnsi="宋体" w:cs="宋体"/>
          <w:sz w:val="30"/>
        </w:rPr>
      </w:pPr>
      <w:r>
        <w:rPr>
          <w:rFonts w:hint="eastAsia" w:ascii="宋体" w:hAnsi="宋体" w:cs="宋体"/>
          <w:sz w:val="30"/>
        </w:rPr>
        <w:t xml:space="preserve">政府采购货物买卖合同</w:t>
      </w:r>
      <w:r/>
    </w:p>
    <w:p>
      <w:pPr>
        <w:ind w:firstLine="600"/>
        <w:jc w:val="center"/>
        <w:rPr>
          <w:rFonts w:hint="eastAsia" w:ascii="宋体" w:hAnsi="宋体" w:cs="宋体"/>
          <w:sz w:val="30"/>
        </w:rPr>
      </w:pPr>
      <w:r>
        <w:rPr>
          <w:rFonts w:hint="eastAsia" w:ascii="宋体" w:hAnsi="宋体" w:cs="宋体"/>
          <w:sz w:val="30"/>
        </w:rPr>
      </w:r>
      <w:r/>
    </w:p>
    <w:p>
      <w:pPr>
        <w:ind w:firstLine="600"/>
        <w:rPr>
          <w:rFonts w:hint="eastAsia" w:ascii="宋体" w:hAnsi="宋体" w:cs="宋体"/>
          <w:sz w:val="30"/>
        </w:rPr>
      </w:pPr>
      <w:r>
        <w:rPr>
          <w:rFonts w:hint="eastAsia" w:ascii="宋体" w:hAnsi="宋体" w:cs="宋体"/>
          <w:sz w:val="30"/>
        </w:rPr>
      </w:r>
      <w:r/>
    </w:p>
    <w:p>
      <w:pPr>
        <w:ind w:firstLine="600"/>
        <w:rPr>
          <w:rFonts w:hint="eastAsia" w:ascii="宋体" w:hAnsi="宋体" w:cs="宋体"/>
          <w:sz w:val="30"/>
        </w:rPr>
      </w:pPr>
      <w:r>
        <w:rPr>
          <w:rFonts w:hint="eastAsia" w:ascii="宋体" w:hAnsi="宋体" w:cs="宋体"/>
          <w:sz w:val="30"/>
        </w:rPr>
      </w:r>
      <w:r/>
    </w:p>
    <w:p>
      <w:pPr>
        <w:ind w:firstLine="600"/>
        <w:rPr>
          <w:rFonts w:hint="eastAsia" w:ascii="宋体" w:hAnsi="宋体" w:cs="宋体"/>
          <w:sz w:val="30"/>
        </w:rPr>
      </w:pPr>
      <w:r>
        <w:rPr>
          <w:rFonts w:hint="eastAsia" w:ascii="宋体" w:hAnsi="宋体" w:cs="宋体"/>
          <w:sz w:val="30"/>
        </w:rPr>
      </w:r>
      <w:r/>
    </w:p>
    <w:p>
      <w:pPr>
        <w:ind w:left="420" w:firstLine="600"/>
        <w:spacing w:line="360" w:lineRule="auto"/>
        <w:rPr>
          <w:rFonts w:hint="eastAsia" w:ascii="宋体" w:hAnsi="宋体" w:cs="宋体"/>
          <w:sz w:val="30"/>
        </w:rPr>
      </w:pPr>
      <w:r>
        <w:rPr>
          <w:rFonts w:hint="eastAsia" w:ascii="宋体" w:hAnsi="宋体" w:cs="宋体"/>
          <w:sz w:val="30"/>
        </w:rPr>
        <w:t xml:space="preserve">项目名称：</w:t>
      </w:r>
      <w:r/>
    </w:p>
    <w:p>
      <w:pPr>
        <w:ind w:left="420" w:firstLine="600"/>
        <w:spacing w:line="360" w:lineRule="auto"/>
        <w:rPr>
          <w:rFonts w:hint="eastAsia" w:ascii="宋体" w:hAnsi="宋体" w:cs="宋体"/>
          <w:sz w:val="30"/>
        </w:rPr>
      </w:pPr>
      <w:r>
        <w:rPr>
          <w:rFonts w:hint="eastAsia" w:ascii="宋体" w:hAnsi="宋体" w:cs="宋体"/>
          <w:sz w:val="30"/>
        </w:rPr>
        <w:t xml:space="preserve">合同编号：</w:t>
      </w:r>
      <w:r/>
    </w:p>
    <w:p>
      <w:pPr>
        <w:ind w:left="420" w:firstLine="600"/>
        <w:spacing w:line="360" w:lineRule="auto"/>
        <w:rPr>
          <w:rFonts w:hint="eastAsia" w:ascii="宋体" w:hAnsi="宋体" w:cs="宋体"/>
          <w:sz w:val="30"/>
        </w:rPr>
      </w:pPr>
      <w:r>
        <w:rPr>
          <w:rFonts w:hint="eastAsia" w:ascii="宋体" w:hAnsi="宋体" w:cs="宋体"/>
          <w:sz w:val="30"/>
        </w:rPr>
        <w:t xml:space="preserve">甲    方：</w:t>
      </w:r>
      <w:r/>
    </w:p>
    <w:p>
      <w:pPr>
        <w:ind w:left="420" w:firstLine="600"/>
        <w:spacing w:line="360" w:lineRule="auto"/>
        <w:rPr>
          <w:rFonts w:hint="eastAsia" w:ascii="宋体" w:hAnsi="宋体" w:cs="宋体"/>
          <w:sz w:val="30"/>
        </w:rPr>
      </w:pPr>
      <w:r>
        <w:rPr>
          <w:rFonts w:hint="eastAsia" w:ascii="宋体" w:hAnsi="宋体" w:cs="宋体"/>
          <w:sz w:val="30"/>
        </w:rPr>
        <w:t xml:space="preserve">乙    方：</w:t>
      </w:r>
      <w:r/>
    </w:p>
    <w:p>
      <w:pPr>
        <w:ind w:left="420" w:firstLine="600"/>
        <w:spacing w:line="360" w:lineRule="auto"/>
        <w:rPr>
          <w:rFonts w:hint="eastAsia" w:ascii="宋体" w:hAnsi="宋体" w:cs="宋体"/>
          <w:sz w:val="30"/>
        </w:rPr>
      </w:pPr>
      <w:r>
        <w:rPr>
          <w:rFonts w:hint="eastAsia" w:ascii="宋体" w:hAnsi="宋体" w:cs="宋体"/>
          <w:sz w:val="30"/>
        </w:rPr>
        <w:t xml:space="preserve">签订时间：</w:t>
      </w:r>
      <w:r/>
    </w:p>
    <w:p>
      <w:pPr>
        <w:ind w:firstLine="420"/>
      </w:pPr>
      <w:r/>
      <w:r/>
    </w:p>
    <w:p>
      <w:pPr>
        <w:ind w:firstLine="880"/>
        <w:rPr>
          <w:rFonts w:eastAsia="黑体"/>
          <w:sz w:val="44"/>
          <w:szCs w:val="44"/>
        </w:rPr>
      </w:pPr>
      <w:r>
        <w:rPr>
          <w:rFonts w:eastAsia="黑体"/>
          <w:sz w:val="44"/>
          <w:szCs w:val="44"/>
        </w:rPr>
        <w:br w:type="page" w:clear="all"/>
      </w:r>
      <w:r/>
    </w:p>
    <w:p>
      <w:pPr>
        <w:ind w:firstLine="0"/>
        <w:jc w:val="center"/>
        <w:rPr>
          <w:rFonts w:eastAsia="黑体"/>
          <w:sz w:val="44"/>
          <w:szCs w:val="44"/>
        </w:rPr>
      </w:pPr>
      <w:r>
        <w:rPr>
          <w:rFonts w:eastAsia="黑体"/>
          <w:sz w:val="44"/>
          <w:szCs w:val="44"/>
        </w:rPr>
      </w:r>
      <w:r/>
    </w:p>
    <w:p>
      <w:pPr>
        <w:ind w:firstLine="0"/>
        <w:jc w:val="center"/>
        <w:rPr>
          <w:rFonts w:eastAsia="黑体"/>
          <w:sz w:val="44"/>
          <w:szCs w:val="44"/>
        </w:rPr>
      </w:pPr>
      <w:r>
        <w:rPr>
          <w:rFonts w:hint="eastAsia" w:eastAsia="黑体"/>
          <w:sz w:val="44"/>
          <w:szCs w:val="44"/>
        </w:rPr>
        <w:t xml:space="preserve">使用说明</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ind w:firstLine="640"/>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bookmarkEnd w:id="169"/>
      <w:r/>
      <w:r/>
    </w:p>
    <w:p>
      <w:pPr>
        <w:ind w:firstLine="880"/>
        <w:rPr>
          <w:rFonts w:eastAsia="黑体"/>
          <w:sz w:val="44"/>
          <w:szCs w:val="44"/>
        </w:rPr>
        <w:sectPr>
          <w:footerReference w:type="default" r:id="rId9"/>
          <w:footnotePr/>
          <w:endnotePr/>
          <w:type w:val="nextPage"/>
          <w:pgSz w:w="11906" w:h="16838" w:orient="portrait"/>
          <w:pgMar w:top="1247" w:right="1417" w:bottom="1247" w:left="1417" w:header="851" w:footer="992" w:gutter="0"/>
          <w:pgNumType w:start="1"/>
          <w:cols w:num="1" w:sep="0" w:space="425" w:equalWidth="1"/>
          <w:docGrid w:linePitch="360"/>
        </w:sectPr>
      </w:pPr>
      <w:r>
        <w:rPr>
          <w:rFonts w:eastAsia="黑体"/>
          <w:sz w:val="44"/>
          <w:szCs w:val="44"/>
        </w:rPr>
      </w:r>
      <w:r/>
    </w:p>
    <w:p>
      <w:r/>
      <w:bookmarkStart w:id="170" w:name="_Toc22209"/>
      <w:r/>
      <w:r/>
    </w:p>
    <w:p>
      <w:pPr>
        <w:ind w:firstLine="0"/>
        <w:jc w:val="center"/>
        <w:keepLines/>
        <w:keepNext/>
        <w:spacing w:line="400" w:lineRule="exact"/>
        <w:widowControl w:val="off"/>
        <w:rPr>
          <w:rFonts w:hint="eastAsia" w:ascii="黑体" w:hAnsi="黑体" w:eastAsia="黑体"/>
          <w:sz w:val="32"/>
          <w:szCs w:val="32"/>
        </w:rPr>
        <w:outlineLvl w:val="1"/>
      </w:pPr>
      <w:r>
        <w:rPr>
          <w:rFonts w:hint="eastAsia" w:ascii="黑体" w:hAnsi="黑体" w:eastAsia="黑体"/>
          <w:sz w:val="32"/>
          <w:szCs w:val="32"/>
        </w:rPr>
        <w:t xml:space="preserve">第一节 政府采购合同协议书</w:t>
      </w:r>
      <w:bookmarkEnd w:id="170"/>
      <w:r/>
      <w:r/>
    </w:p>
    <w:p>
      <w:r/>
      <w:r/>
    </w:p>
    <w:p>
      <w:pPr>
        <w:spacing w:line="360" w:lineRule="auto"/>
        <w:rPr>
          <w:rFonts w:hint="eastAsia" w:ascii="宋体" w:hAnsi="宋体"/>
          <w:sz w:val="24"/>
        </w:rPr>
      </w:pPr>
      <w:r>
        <w:rPr>
          <w:rFonts w:hint="eastAsia" w:ascii="宋体" w:hAnsi="宋体"/>
          <w:sz w:val="24"/>
        </w:rPr>
        <w:t xml:space="preserve">甲方（全称）：</w:t>
      </w:r>
      <w:r/>
    </w:p>
    <w:p>
      <w:pPr>
        <w:spacing w:line="360" w:lineRule="auto"/>
        <w:rPr>
          <w:rFonts w:hint="eastAsia" w:ascii="宋体" w:hAnsi="宋体"/>
          <w:sz w:val="24"/>
        </w:rPr>
      </w:pPr>
      <w:r>
        <w:rPr>
          <w:rFonts w:hint="eastAsia" w:ascii="宋体" w:hAnsi="宋体"/>
          <w:sz w:val="24"/>
        </w:rPr>
        <w:t xml:space="preserve">乙方（全称）：</w:t>
      </w:r>
      <w:r>
        <w:rPr>
          <w:rFonts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spacing w:line="360" w:lineRule="auto"/>
        <w:rPr>
          <w:rFonts w:hint="eastAsia" w:ascii="宋体" w:hAnsi="宋体"/>
          <w:b/>
          <w:sz w:val="24"/>
        </w:rPr>
      </w:pPr>
      <w:r>
        <w:rPr>
          <w:rFonts w:hint="eastAsia" w:ascii="宋体" w:hAnsi="宋体"/>
          <w:b/>
          <w:sz w:val="24"/>
        </w:rPr>
        <w:t xml:space="preserve">项目信息</w:t>
      </w:r>
      <w:r/>
    </w:p>
    <w:p>
      <w:pPr>
        <w:numPr>
          <w:ilvl w:val="0"/>
          <w:numId w:val="2"/>
        </w:numPr>
        <w:ind w:firstLine="480"/>
        <w:spacing w:line="360" w:lineRule="auto"/>
        <w:rPr>
          <w:rFonts w:hint="eastAsia" w:ascii="宋体" w:hAnsi="宋体"/>
          <w:sz w:val="24"/>
          <w:u w:val="single"/>
        </w:rPr>
      </w:pPr>
      <w:r>
        <w:rPr>
          <w:rFonts w:hint="eastAsia" w:ascii="宋体" w:hAnsi="宋体"/>
          <w:sz w:val="24"/>
        </w:rPr>
        <w:t xml:space="preserve">采购项目名称：</w:t>
      </w:r>
      <w:r/>
    </w:p>
    <w:p>
      <w:pPr>
        <w:numPr>
          <w:ilvl w:val="255"/>
          <w:numId w:val="0"/>
        </w:numPr>
        <w:ind w:firstLine="480"/>
        <w:spacing w:line="360" w:lineRule="auto"/>
        <w:tabs>
          <w:tab w:val="left" w:pos="999" w:leader="none"/>
        </w:tabs>
        <w:rPr>
          <w:rFonts w:hint="eastAsia" w:ascii="宋体" w:hAnsi="宋体"/>
          <w:sz w:val="24"/>
        </w:rPr>
      </w:pPr>
      <w:r>
        <w:rPr>
          <w:rFonts w:hint="eastAsia" w:ascii="宋体" w:hAnsi="宋体"/>
          <w:sz w:val="24"/>
        </w:rPr>
        <w:t xml:space="preserve">     采购项目编号：</w:t>
      </w:r>
      <w:r/>
    </w:p>
    <w:p>
      <w:pPr>
        <w:ind w:firstLine="480"/>
        <w:spacing w:line="360" w:lineRule="auto"/>
        <w:rPr>
          <w:rFonts w:hint="eastAsia" w:ascii="宋体" w:hAnsi="宋体"/>
          <w:sz w:val="24"/>
        </w:rPr>
      </w:pPr>
      <w:r>
        <w:rPr>
          <w:rFonts w:hint="eastAsia" w:ascii="宋体" w:hAnsi="宋体"/>
          <w:sz w:val="24"/>
        </w:rPr>
        <w:t xml:space="preserve">（2）采购计划编号：</w:t>
      </w:r>
      <w:r/>
    </w:p>
    <w:p>
      <w:pPr>
        <w:ind w:firstLine="480"/>
        <w:spacing w:line="360" w:lineRule="auto"/>
        <w:rPr>
          <w:rFonts w:hint="eastAsia" w:ascii="宋体" w:hAnsi="宋体"/>
          <w:sz w:val="24"/>
        </w:rPr>
      </w:pPr>
      <w:r>
        <w:rPr>
          <w:rFonts w:hint="eastAsia" w:ascii="宋体" w:hAnsi="宋体"/>
          <w:sz w:val="24"/>
        </w:rPr>
        <w:t xml:space="preserve">（3）项目内容：</w:t>
      </w:r>
      <w:r/>
    </w:p>
    <w:p>
      <w:pPr>
        <w:ind w:firstLine="480"/>
        <w:spacing w:line="360" w:lineRule="auto"/>
        <w:rPr>
          <w:rFonts w:hint="eastAsia" w:ascii="宋体" w:hAnsi="宋体"/>
          <w:sz w:val="24"/>
        </w:rPr>
      </w:pPr>
      <w:r>
        <w:rPr>
          <w:rFonts w:hint="eastAsia" w:ascii="宋体" w:hAnsi="宋体"/>
          <w:sz w:val="24"/>
        </w:rPr>
        <w:t xml:space="preserve">采购标的及数量（台/套</w:t>
      </w:r>
      <w:r>
        <w:rPr>
          <w:rFonts w:ascii="宋体" w:hAnsi="宋体"/>
          <w:sz w:val="24"/>
        </w:rPr>
        <w:t xml:space="preserve">/</w:t>
      </w:r>
      <w:r>
        <w:rPr>
          <w:rFonts w:hint="eastAsia" w:ascii="宋体" w:hAnsi="宋体"/>
          <w:sz w:val="24"/>
        </w:rPr>
        <w:t xml:space="preserve">个</w:t>
      </w:r>
      <w:r>
        <w:rPr>
          <w:rFonts w:ascii="宋体" w:hAnsi="宋体"/>
          <w:sz w:val="24"/>
        </w:rPr>
        <w:t xml:space="preserve">/</w:t>
      </w:r>
      <w:r>
        <w:rPr>
          <w:rFonts w:hint="eastAsia" w:ascii="宋体" w:hAnsi="宋体"/>
          <w:sz w:val="24"/>
        </w:rPr>
        <w:t xml:space="preserve">架</w:t>
      </w:r>
      <w:r>
        <w:rPr>
          <w:rFonts w:ascii="宋体" w:hAnsi="宋体"/>
          <w:sz w:val="24"/>
        </w:rPr>
        <w:t xml:space="preserve">/</w:t>
      </w:r>
      <w:r>
        <w:rPr>
          <w:rFonts w:hint="eastAsia" w:ascii="宋体" w:hAnsi="宋体"/>
          <w:sz w:val="24"/>
        </w:rPr>
        <w:t xml:space="preserve">组等）：</w:t>
      </w:r>
      <w:r/>
    </w:p>
    <w:p>
      <w:pPr>
        <w:numPr>
          <w:ilvl w:val="255"/>
          <w:numId w:val="0"/>
        </w:numPr>
        <w:ind w:firstLine="480"/>
        <w:spacing w:line="360" w:lineRule="auto"/>
        <w:rPr>
          <w:rFonts w:hint="eastAsia" w:ascii="宋体" w:hAnsi="宋体" w:cs="宋体"/>
          <w:sz w:val="24"/>
        </w:rPr>
      </w:pPr>
      <w:r>
        <w:rPr>
          <w:rFonts w:hint="eastAsia" w:ascii="宋体" w:hAnsi="宋体" w:cs="宋体"/>
          <w:sz w:val="24"/>
        </w:rPr>
        <w:t xml:space="preserve">品牌：规格型号：</w:t>
      </w:r>
      <w:r/>
    </w:p>
    <w:p>
      <w:pPr>
        <w:numPr>
          <w:ilvl w:val="255"/>
          <w:numId w:val="0"/>
        </w:numPr>
        <w:ind w:firstLine="480"/>
        <w:spacing w:line="360" w:lineRule="auto"/>
        <w:rPr>
          <w:rFonts w:hint="eastAsia" w:ascii="宋体" w:hAnsi="宋体" w:cs="宋体"/>
          <w:sz w:val="24"/>
        </w:rPr>
      </w:pPr>
      <w:r>
        <w:rPr>
          <w:rFonts w:hint="eastAsia" w:ascii="宋体" w:hAnsi="宋体"/>
          <w:sz w:val="24"/>
        </w:rPr>
        <w:t xml:space="preserve">采购标的的技术要求、商务要求具体见附件。</w:t>
      </w:r>
      <w:r/>
    </w:p>
    <w:p>
      <w:pPr>
        <w:numPr>
          <w:ilvl w:val="255"/>
          <w:numId w:val="0"/>
        </w:numPr>
        <w:ind w:firstLine="480"/>
        <w:jc w:val="left"/>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）政府采购组织形式：</w:t>
      </w:r>
      <w:r>
        <w:rPr>
          <w:rFonts w:ascii="Wingdings" w:hAnsi="Wingdings" w:eastAsia="Wingdings" w:cs="Wingdings"/>
          <w:sz w:val="24"/>
        </w:rPr>
        <w:t xml:space="preserve"></w:t>
      </w:r>
      <w:r>
        <w:rPr>
          <w:rFonts w:hint="eastAsia" w:ascii="宋体" w:hAnsi="宋体" w:cs="宋体"/>
          <w:sz w:val="24"/>
        </w:rPr>
        <w:t xml:space="preserve">政府集中采购</w:t>
      </w:r>
      <w:r>
        <w:rPr>
          <w:rFonts w:ascii="Wingdings" w:hAnsi="Wingdings" w:eastAsia="Wingdings" w:cs="Wingdings"/>
          <w:sz w:val="24"/>
        </w:rPr>
        <w:t xml:space="preserve"></w:t>
      </w:r>
      <w:r>
        <w:rPr>
          <w:rFonts w:hint="eastAsia" w:ascii="宋体" w:hAnsi="宋体" w:cs="宋体"/>
          <w:sz w:val="24"/>
        </w:rPr>
        <w:t xml:space="preserve">部门集中采购  </w:t>
      </w:r>
      <w:r>
        <w:rPr>
          <w:rFonts w:ascii="Wingdings" w:hAnsi="Wingdings" w:eastAsia="Wingdings" w:cs="Wingdings"/>
          <w:sz w:val="24"/>
        </w:rPr>
        <w:t xml:space="preserve">þ</w:t>
      </w:r>
      <w:r>
        <w:rPr>
          <w:rFonts w:hint="eastAsia" w:ascii="宋体" w:hAnsi="宋体" w:cs="宋体"/>
          <w:sz w:val="24"/>
        </w:rPr>
        <w:t xml:space="preserve">分散采购</w:t>
      </w:r>
      <w:r/>
    </w:p>
    <w:p>
      <w:pPr>
        <w:numPr>
          <w:ilvl w:val="255"/>
          <w:numId w:val="0"/>
        </w:numPr>
        <w:ind w:firstLine="480"/>
        <w:jc w:val="left"/>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）政府采购方式：</w:t>
      </w:r>
      <w:r>
        <w:rPr>
          <w:rFonts w:ascii="Wingdings" w:hAnsi="Wingdings" w:eastAsia="Wingdings" w:cs="Wingdings"/>
          <w:sz w:val="24"/>
        </w:rPr>
        <w:t xml:space="preserve">þ</w:t>
      </w:r>
      <w:r>
        <w:rPr>
          <w:rFonts w:hint="eastAsia" w:ascii="宋体" w:hAnsi="宋体" w:cs="宋体"/>
          <w:sz w:val="24"/>
        </w:rPr>
        <w:t xml:space="preserve">公开招标</w:t>
      </w:r>
      <w:r>
        <w:rPr>
          <w:rFonts w:ascii="Wingdings" w:hAnsi="Wingdings" w:eastAsia="Wingdings" w:cs="Wingdings"/>
          <w:sz w:val="24"/>
        </w:rPr>
        <w:t xml:space="preserve"></w:t>
      </w:r>
      <w:r>
        <w:rPr>
          <w:rFonts w:hint="eastAsia" w:ascii="宋体" w:hAnsi="宋体" w:cs="宋体"/>
          <w:sz w:val="24"/>
        </w:rPr>
        <w:t xml:space="preserve">邀请招标</w:t>
      </w:r>
      <w:r>
        <w:rPr>
          <w:rFonts w:ascii="Wingdings" w:hAnsi="Wingdings" w:eastAsia="Wingdings" w:cs="Wingdings"/>
          <w:sz w:val="24"/>
        </w:rPr>
        <w:t xml:space="preserve"></w:t>
      </w:r>
      <w:r>
        <w:rPr>
          <w:rFonts w:hint="eastAsia" w:ascii="宋体" w:hAnsi="宋体" w:cs="宋体"/>
          <w:sz w:val="24"/>
        </w:rPr>
        <w:t xml:space="preserve">竞争性谈判</w:t>
      </w:r>
      <w:r>
        <w:rPr>
          <w:rFonts w:ascii="Wingdings" w:hAnsi="Wingdings" w:eastAsia="Wingdings" w:cs="Wingdings"/>
          <w:sz w:val="24"/>
        </w:rPr>
        <w:t xml:space="preserve"></w:t>
      </w:r>
      <w:r>
        <w:rPr>
          <w:rFonts w:hint="eastAsia" w:ascii="宋体" w:hAnsi="宋体" w:cs="宋体"/>
          <w:sz w:val="24"/>
        </w:rPr>
        <w:t xml:space="preserve">竞争性磋商</w:t>
      </w:r>
      <w:r>
        <w:rPr>
          <w:rFonts w:ascii="Wingdings" w:hAnsi="Wingdings" w:eastAsia="Wingdings" w:cs="Wingdings"/>
          <w:sz w:val="24"/>
        </w:rPr>
        <w:t xml:space="preserve"></w:t>
      </w:r>
      <w:r>
        <w:rPr>
          <w:rFonts w:hint="eastAsia" w:ascii="宋体" w:hAnsi="宋体" w:cs="宋体"/>
          <w:sz w:val="24"/>
        </w:rPr>
        <w:t xml:space="preserve">询价</w:t>
      </w:r>
      <w:r>
        <w:rPr>
          <w:rFonts w:ascii="Wingdings" w:hAnsi="Wingdings" w:eastAsia="Wingdings" w:cs="Wingdings"/>
          <w:sz w:val="24"/>
        </w:rPr>
        <w:t xml:space="preserve"></w:t>
      </w:r>
      <w:r>
        <w:rPr>
          <w:rFonts w:hint="eastAsia" w:ascii="宋体" w:hAnsi="宋体" w:cs="宋体"/>
          <w:sz w:val="24"/>
        </w:rPr>
        <w:t xml:space="preserve">单一来源</w:t>
      </w:r>
      <w:r>
        <w:rPr>
          <w:rFonts w:ascii="Wingdings" w:hAnsi="Wingdings" w:eastAsia="Wingdings" w:cs="Wingdings"/>
          <w:sz w:val="24"/>
        </w:rPr>
        <w:t xml:space="preserve"></w:t>
      </w:r>
      <w:r>
        <w:rPr>
          <w:rFonts w:hint="eastAsia" w:ascii="宋体" w:hAnsi="宋体" w:cs="宋体"/>
          <w:sz w:val="24"/>
        </w:rPr>
        <w:t xml:space="preserve">框架协议</w:t>
      </w:r>
      <w:r>
        <w:rPr>
          <w:rFonts w:ascii="Wingdings" w:hAnsi="Wingdings" w:eastAsia="Wingdings" w:cs="Wingdings"/>
          <w:sz w:val="24"/>
        </w:rPr>
        <w:t xml:space="preserve"></w:t>
      </w:r>
      <w:r>
        <w:rPr>
          <w:rFonts w:hint="eastAsia" w:ascii="宋体" w:hAnsi="宋体" w:cs="宋体"/>
          <w:sz w:val="24"/>
        </w:rPr>
        <w:t xml:space="preserve">其他：</w:t>
      </w:r>
      <w:r/>
    </w:p>
    <w:p>
      <w:pPr>
        <w:numPr>
          <w:ilvl w:val="255"/>
          <w:numId w:val="0"/>
        </w:numPr>
        <w:ind w:firstLine="480"/>
        <w:jc w:val="left"/>
        <w:spacing w:line="360" w:lineRule="auto"/>
        <w:rPr>
          <w:rFonts w:hint="eastAsia" w:ascii="宋体" w:hAnsi="宋体"/>
          <w:sz w:val="24"/>
        </w:rPr>
      </w:pPr>
      <w:r>
        <w:rPr>
          <w:rFonts w:hint="eastAsia" w:ascii="宋体" w:hAnsi="宋体" w:eastAsia="华文楷体" w:cs="华文楷体"/>
          <w:sz w:val="24"/>
        </w:rPr>
        <w:t xml:space="preserve">（</w:t>
      </w:r>
      <w:r>
        <w:rPr>
          <w:rFonts w:ascii="宋体" w:hAnsi="宋体" w:eastAsia="华文楷体" w:cs="华文楷体"/>
          <w:sz w:val="24"/>
        </w:rPr>
        <w:t xml:space="preserve">6</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480"/>
        <w:spacing w:line="360" w:lineRule="auto"/>
        <w:rPr>
          <w:rFonts w:hint="eastAsia" w:ascii="宋体" w:hAnsi="宋体"/>
          <w:iCs/>
          <w:sz w:val="24"/>
        </w:rPr>
      </w:pPr>
      <w:r>
        <w:rPr>
          <w:rFonts w:hint="eastAsia" w:ascii="宋体" w:hAnsi="宋体"/>
          <w:sz w:val="24"/>
        </w:rPr>
        <w:t xml:space="preserve">本合同是否为专门面向中小企业的采购合同（中小企业预留合同）</w:t>
      </w:r>
      <w:r>
        <w:rPr>
          <w:rFonts w:hint="eastAsia" w:ascii="宋体" w:hAnsi="宋体" w:eastAsia="宋体"/>
          <w:sz w:val="24"/>
        </w:rPr>
        <w:t xml:space="preserve">:</w:t>
      </w:r>
      <w:r>
        <w:rPr>
          <w:rFonts w:ascii="Wingdings" w:hAnsi="Wingdings" w:eastAsia="Wingdings" w:cs="Wingdings"/>
          <w:iCs/>
          <w:sz w:val="24"/>
        </w:rPr>
        <w:t xml:space="preserve">¨</w:t>
      </w:r>
      <w:r>
        <w:rPr>
          <w:rFonts w:hint="eastAsia" w:ascii="宋体" w:hAnsi="宋体"/>
          <w:iCs/>
          <w:sz w:val="24"/>
        </w:rPr>
        <w:t xml:space="preserve">是</w:t>
      </w:r>
      <w:r>
        <w:rPr>
          <w:rFonts w:ascii="Wingdings" w:hAnsi="Wingdings" w:eastAsia="Wingdings" w:cs="Wingdings"/>
          <w:iCs/>
          <w:sz w:val="24"/>
        </w:rPr>
        <w:t xml:space="preserve"></w:t>
      </w:r>
      <w:r>
        <w:rPr>
          <w:rFonts w:hint="eastAsia" w:ascii="宋体" w:hAnsi="宋体"/>
          <w:iCs/>
          <w:sz w:val="24"/>
        </w:rPr>
        <w:t xml:space="preserve">否</w:t>
      </w:r>
      <w:r/>
    </w:p>
    <w:p>
      <w:pPr>
        <w:numPr>
          <w:ilvl w:val="255"/>
          <w:numId w:val="0"/>
        </w:numPr>
        <w:ind w:firstLine="480"/>
        <w:spacing w:line="360" w:lineRule="auto"/>
        <w:rPr>
          <w:rFonts w:hint="eastAsia" w:ascii="宋体" w:hAnsi="宋体"/>
          <w:iCs/>
          <w:sz w:val="24"/>
        </w:rPr>
      </w:pPr>
      <w:r>
        <w:rPr>
          <w:rFonts w:hint="eastAsia"/>
          <w:sz w:val="24"/>
        </w:rPr>
        <w:t xml:space="preserve">若本项目不专门面向中小企业采购，是否给予小微企业评审优惠：</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numPr>
          <w:ilvl w:val="255"/>
          <w:numId w:val="0"/>
        </w:numPr>
        <w:ind w:firstLine="480"/>
        <w:spacing w:line="360" w:lineRule="auto"/>
        <w:rPr>
          <w:rFonts w:hint="eastAsia" w:ascii="宋体" w:hAnsi="宋体"/>
          <w:iCs/>
          <w:sz w:val="24"/>
        </w:rPr>
      </w:pPr>
      <w:r>
        <w:rPr>
          <w:rFonts w:hint="eastAsia"/>
          <w:sz w:val="24"/>
        </w:rPr>
        <w:t xml:space="preserve">中标（成交）采购标的制造商是否为残疾人福利性单位：</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480"/>
        <w:spacing w:line="360" w:lineRule="auto"/>
        <w:rPr>
          <w:sz w:val="24"/>
        </w:rPr>
      </w:pPr>
      <w:r>
        <w:rPr>
          <w:rFonts w:hint="eastAsia"/>
          <w:sz w:val="24"/>
        </w:rPr>
        <w:t xml:space="preserve">中标（成交）采购标的制造商是否为监狱企业：</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）合同是否分包：</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þ</w:t>
      </w:r>
      <w:r>
        <w:rPr>
          <w:rFonts w:hint="eastAsia" w:ascii="宋体" w:hAnsi="宋体"/>
          <w:iCs/>
          <w:sz w:val="24"/>
        </w:rPr>
        <w:t xml:space="preserve">否</w:t>
      </w:r>
      <w:r/>
    </w:p>
    <w:p>
      <w:pPr>
        <w:ind w:firstLine="480"/>
        <w:spacing w:line="360" w:lineRule="auto"/>
        <w:rPr>
          <w:rFonts w:hint="eastAsia" w:ascii="宋体" w:hAnsi="宋体"/>
          <w:sz w:val="24"/>
          <w:u w:val="single"/>
        </w:rPr>
      </w:pPr>
      <w:r>
        <w:rPr>
          <w:rFonts w:hint="eastAsia" w:ascii="宋体" w:hAnsi="宋体"/>
          <w:sz w:val="24"/>
        </w:rPr>
        <w:t xml:space="preserve">分包主要内容：</w:t>
      </w:r>
      <w:r/>
    </w:p>
    <w:p>
      <w:pPr>
        <w:ind w:firstLine="480"/>
        <w:spacing w:line="360" w:lineRule="auto"/>
        <w:rPr>
          <w:rFonts w:hint="eastAsia" w:ascii="宋体" w:hAnsi="宋体"/>
          <w:sz w:val="24"/>
        </w:rPr>
      </w:pPr>
      <w:r>
        <w:rPr>
          <w:rFonts w:hint="eastAsia" w:ascii="宋体" w:hAnsi="宋体"/>
          <w:sz w:val="24"/>
        </w:rPr>
        <w:t xml:space="preserve">分包供应商/制造商名称（如供应商和制造商不同，请分别填写）：</w:t>
      </w:r>
      <w:r/>
    </w:p>
    <w:p>
      <w:pPr>
        <w:spacing w:line="360" w:lineRule="auto"/>
        <w:rPr>
          <w:rFonts w:eastAsia="华文楷体"/>
          <w:sz w:val="24"/>
        </w:rPr>
      </w:pPr>
      <w:r>
        <w:rPr>
          <w:rFonts w:hint="eastAsia" w:ascii="宋体" w:hAnsi="宋体"/>
          <w:sz w:val="24"/>
        </w:rPr>
        <w:t xml:space="preserve">分包供应商/制造商类型（如果供应商和制造商不同，只填写制造商类型）：</w:t>
      </w:r>
      <w:r>
        <w:rPr>
          <w:rFonts w:ascii="Wingdings" w:hAnsi="Wingdings" w:eastAsia="Wingdings" w:cs="Wingdings"/>
          <w:iCs/>
          <w:sz w:val="24"/>
        </w:rPr>
        <w:t xml:space="preserve"></w:t>
      </w:r>
      <w:r>
        <w:rPr>
          <w:rFonts w:hint="eastAsia" w:ascii="宋体" w:hAnsi="宋体"/>
          <w:iCs/>
          <w:sz w:val="24"/>
        </w:rPr>
        <w:t xml:space="preserve">大型企业  </w:t>
      </w:r>
      <w:r>
        <w:rPr>
          <w:rFonts w:ascii="Wingdings" w:hAnsi="Wingdings" w:eastAsia="Wingdings" w:cs="Wingdings"/>
          <w:iCs/>
          <w:sz w:val="24"/>
        </w:rPr>
        <w:t xml:space="preserve"></w:t>
      </w:r>
      <w:r>
        <w:rPr>
          <w:rFonts w:hint="eastAsia" w:ascii="宋体" w:hAnsi="宋体"/>
          <w:iCs/>
          <w:sz w:val="24"/>
        </w:rPr>
        <w:t xml:space="preserve">中型企业  </w:t>
      </w:r>
      <w:r>
        <w:rPr>
          <w:rFonts w:ascii="Wingdings" w:hAnsi="Wingdings" w:eastAsia="Wingdings" w:cs="Wingdings"/>
          <w:iCs/>
          <w:sz w:val="24"/>
        </w:rPr>
        <w:t xml:space="preserve"></w:t>
      </w:r>
      <w:r>
        <w:rPr>
          <w:rFonts w:hint="eastAsia" w:ascii="宋体" w:hAnsi="宋体"/>
          <w:iCs/>
          <w:sz w:val="24"/>
        </w:rPr>
        <w:t xml:space="preserve">小微型企业</w:t>
      </w:r>
      <w:r>
        <w:rPr>
          <w:rFonts w:ascii="Wingdings" w:hAnsi="Wingdings" w:eastAsia="Wingdings" w:cs="Wingdings"/>
          <w:iCs/>
          <w:sz w:val="24"/>
        </w:rPr>
        <w:t xml:space="preserve"></w:t>
      </w:r>
      <w:r>
        <w:rPr>
          <w:rFonts w:hint="eastAsia" w:ascii="宋体" w:hAnsi="宋体"/>
          <w:iCs/>
          <w:sz w:val="24"/>
        </w:rPr>
        <w:t xml:space="preserve">残疾人福利性单位</w:t>
      </w:r>
      <w:r>
        <w:rPr>
          <w:rFonts w:ascii="Wingdings" w:hAnsi="Wingdings" w:eastAsia="Wingdings" w:cs="Wingdings"/>
          <w:iCs/>
          <w:sz w:val="24"/>
        </w:rPr>
        <w:t xml:space="preserve"></w:t>
      </w:r>
      <w:r>
        <w:rPr>
          <w:rFonts w:hint="eastAsia" w:ascii="宋体" w:hAnsi="宋体"/>
          <w:iCs/>
          <w:sz w:val="24"/>
        </w:rPr>
        <w:t xml:space="preserve">监狱企业</w:t>
      </w:r>
      <w:r>
        <w:rPr>
          <w:rFonts w:ascii="Wingdings" w:hAnsi="Wingdings" w:eastAsia="Wingdings" w:cs="Wingdings"/>
          <w:iCs/>
          <w:sz w:val="24"/>
        </w:rPr>
        <w:t xml:space="preserve"></w:t>
      </w:r>
      <w:r>
        <w:rPr>
          <w:rFonts w:hint="eastAsia" w:ascii="宋体" w:hAnsi="宋体"/>
          <w:iCs/>
          <w:sz w:val="24"/>
        </w:rPr>
        <w:t xml:space="preserve">其他</w:t>
      </w:r>
      <w:r/>
    </w:p>
    <w:p>
      <w:pPr>
        <w:ind w:firstLine="480"/>
        <w:spacing w:line="360" w:lineRule="auto"/>
        <w:rPr>
          <w:rFonts w:eastAsia="华文楷体"/>
          <w:sz w:val="24"/>
        </w:rPr>
      </w:pP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）中标（成交）供应商是否为外商投资企业：</w:t>
      </w:r>
      <w:r>
        <w:rPr>
          <w:rFonts w:ascii="Wingdings" w:hAnsi="Wingdings" w:eastAsia="Wingdings" w:cs="Wingdings"/>
          <w:iCs/>
          <w:sz w:val="24"/>
        </w:rPr>
        <w:t xml:space="preserve"></w:t>
      </w:r>
      <w:r>
        <w:rPr>
          <w:rFonts w:hint="eastAsia" w:ascii="宋体" w:hAnsi="宋体" w:cs="宋体"/>
          <w:iCs/>
          <w:sz w:val="24"/>
        </w:rPr>
        <w:t xml:space="preserve">是  </w:t>
      </w:r>
      <w:r>
        <w:rPr>
          <w:rFonts w:ascii="Wingdings" w:hAnsi="Wingdings" w:eastAsia="Wingdings" w:cs="Wingdings"/>
          <w:iCs/>
          <w:sz w:val="24"/>
        </w:rPr>
        <w:t xml:space="preserve"></w:t>
      </w:r>
      <w:r>
        <w:rPr>
          <w:rFonts w:hint="eastAsia" w:ascii="宋体" w:hAnsi="宋体" w:cs="宋体"/>
          <w:iCs/>
          <w:sz w:val="24"/>
        </w:rPr>
        <w:t xml:space="preserve">否</w:t>
      </w:r>
      <w:r/>
    </w:p>
    <w:p>
      <w:pPr>
        <w:ind w:firstLine="480"/>
        <w:jc w:val="left"/>
        <w:spacing w:line="360" w:lineRule="auto"/>
        <w:tabs>
          <w:tab w:val="left" w:pos="1340" w:leader="none"/>
        </w:tabs>
        <w:rPr>
          <w:rFonts w:hint="eastAsia" w:ascii="宋体" w:hAnsi="宋体" w:cs="宋体"/>
          <w:sz w:val="24"/>
          <w:u w:val="single"/>
        </w:rPr>
      </w:pPr>
      <w:r>
        <w:rPr>
          <w:rFonts w:hint="eastAsia" w:ascii="宋体" w:hAnsi="宋体" w:cs="宋体"/>
          <w:sz w:val="24"/>
        </w:rPr>
        <w:t xml:space="preserve">外商投资企业类型：</w:t>
      </w:r>
      <w:r>
        <w:rPr>
          <w:rFonts w:ascii="Wingdings" w:hAnsi="Wingdings" w:eastAsia="Wingdings" w:cs="Wingdings"/>
          <w:iCs/>
          <w:sz w:val="24"/>
        </w:rPr>
        <w:t xml:space="preserve"></w:t>
      </w:r>
      <w:r>
        <w:rPr>
          <w:rFonts w:hint="eastAsia" w:ascii="宋体" w:hAnsi="宋体" w:cs="宋体"/>
          <w:sz w:val="24"/>
        </w:rPr>
        <w:t xml:space="preserve">全部由外国投资者投资  </w:t>
      </w:r>
      <w:r>
        <w:rPr>
          <w:rFonts w:ascii="Wingdings" w:hAnsi="Wingdings" w:eastAsia="Wingdings" w:cs="Wingdings"/>
          <w:iCs/>
          <w:sz w:val="24"/>
        </w:rPr>
        <w:t xml:space="preserve"></w:t>
      </w:r>
      <w:r>
        <w:rPr>
          <w:rFonts w:hint="eastAsia" w:ascii="宋体" w:hAnsi="宋体" w:cs="宋体"/>
          <w:iCs/>
          <w:sz w:val="24"/>
        </w:rPr>
        <w:t xml:space="preserve">部分由外国投资者投资</w:t>
      </w:r>
      <w:r/>
    </w:p>
    <w:p>
      <w:pPr>
        <w:numPr>
          <w:ilvl w:val="255"/>
          <w:numId w:val="0"/>
        </w:numPr>
        <w:ind w:firstLine="480"/>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）是否涉及进口产品：</w:t>
      </w:r>
      <w:r/>
    </w:p>
    <w:p>
      <w:pPr>
        <w:numPr>
          <w:ilvl w:val="255"/>
          <w:numId w:val="0"/>
        </w:numPr>
        <w:ind w:firstLine="480"/>
        <w:spacing w:line="360" w:lineRule="auto"/>
        <w:rPr>
          <w:rFonts w:hint="eastAsia" w:ascii="宋体" w:hAnsi="宋体"/>
          <w:sz w:val="24"/>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是，《政府采购品目分类目录》底级品目名称：金额：国别：品牌： 规格型号：</w:t>
      </w:r>
      <w:r/>
    </w:p>
    <w:p>
      <w:pPr>
        <w:ind w:firstLine="480"/>
        <w:spacing w:line="360" w:lineRule="auto"/>
        <w:rPr>
          <w:rFonts w:hint="eastAsia" w:ascii="宋体" w:hAnsi="宋体"/>
          <w:sz w:val="24"/>
        </w:rPr>
      </w:pPr>
      <w:r>
        <w:rPr>
          <w:rFonts w:ascii="Wingdings" w:hAnsi="Wingdings" w:eastAsia="Wingdings" w:cs="Wingdings"/>
          <w:sz w:val="24"/>
        </w:rPr>
        <w:t xml:space="preserve">þ</w:t>
      </w:r>
      <w:r>
        <w:rPr>
          <w:rFonts w:hint="eastAsia" w:ascii="宋体" w:hAnsi="宋体"/>
          <w:sz w:val="24"/>
        </w:rPr>
        <w:t xml:space="preserve">否</w:t>
      </w:r>
      <w:r/>
    </w:p>
    <w:p>
      <w:pPr>
        <w:numPr>
          <w:ilvl w:val="255"/>
          <w:numId w:val="0"/>
        </w:numPr>
        <w:ind w:firstLine="480"/>
        <w:spacing w:line="360" w:lineRule="auto"/>
        <w:tabs>
          <w:tab w:val="left" w:pos="740" w:leader="none"/>
        </w:tabs>
        <w:rPr>
          <w:rFonts w:hint="eastAsia" w:ascii="宋体" w:hAnsi="宋体"/>
          <w:sz w:val="24"/>
        </w:rPr>
      </w:pPr>
      <w:r>
        <w:rPr>
          <w:rFonts w:hint="eastAsia" w:ascii="宋体" w:hAnsi="宋体"/>
          <w:sz w:val="24"/>
        </w:rPr>
        <w:t xml:space="preserve">（1</w:t>
      </w:r>
      <w:r>
        <w:rPr>
          <w:rFonts w:ascii="宋体" w:hAnsi="宋体"/>
          <w:sz w:val="24"/>
        </w:rPr>
        <w:t xml:space="preserve">0</w:t>
      </w:r>
      <w:r>
        <w:rPr>
          <w:rFonts w:hint="eastAsia" w:ascii="宋体" w:hAnsi="宋体"/>
          <w:sz w:val="24"/>
        </w:rPr>
        <w:t xml:space="preserve">）是否涉及节能产品：</w:t>
      </w:r>
      <w:r/>
    </w:p>
    <w:p>
      <w:pPr>
        <w:numPr>
          <w:ilvl w:val="255"/>
          <w:numId w:val="0"/>
        </w:numPr>
        <w:ind w:firstLine="480"/>
        <w:spacing w:line="360" w:lineRule="auto"/>
        <w:tabs>
          <w:tab w:val="left" w:pos="740" w:leader="none"/>
        </w:tabs>
        <w:rPr>
          <w:rFonts w:hint="eastAsia" w:ascii="宋体" w:hAnsi="宋体"/>
          <w:iCs/>
          <w:sz w:val="24"/>
        </w:rPr>
      </w:pPr>
      <w:r>
        <w:rPr>
          <w:rFonts w:ascii="Wingdings" w:hAnsi="Wingdings" w:eastAsia="Wingdings" w:cs="Wingdings"/>
          <w:sz w:val="24"/>
        </w:rPr>
        <w:t xml:space="preserve"></w:t>
      </w:r>
      <w:r>
        <w:rPr>
          <w:rFonts w:hint="eastAsia" w:ascii="宋体" w:hAnsi="宋体"/>
          <w:sz w:val="24"/>
        </w:rPr>
        <w:t xml:space="preserve">是，《节能产品政府采购品目清单》的底级品目名称：</w:t>
      </w:r>
      <w:r/>
    </w:p>
    <w:p>
      <w:pPr>
        <w:numPr>
          <w:ilvl w:val="255"/>
          <w:numId w:val="0"/>
        </w:numPr>
        <w:ind w:firstLine="48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48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480"/>
        <w:spacing w:line="360" w:lineRule="auto"/>
        <w:tabs>
          <w:tab w:val="left" w:pos="740" w:leader="none"/>
        </w:tabs>
        <w:rPr>
          <w:rFonts w:hint="eastAsia" w:ascii="宋体" w:hAnsi="宋体"/>
          <w:sz w:val="24"/>
        </w:rPr>
      </w:pPr>
      <w:r>
        <w:rPr>
          <w:rFonts w:hint="eastAsia" w:ascii="宋体" w:hAnsi="宋体"/>
          <w:sz w:val="24"/>
        </w:rPr>
        <w:t xml:space="preserve">是否涉及环境标志产品：</w:t>
      </w:r>
      <w:r/>
    </w:p>
    <w:p>
      <w:pPr>
        <w:numPr>
          <w:ilvl w:val="255"/>
          <w:numId w:val="0"/>
        </w:numPr>
        <w:ind w:firstLine="48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是，《环境标志产品政府采购品目清单》的底级品目名称：</w:t>
      </w:r>
      <w:r/>
    </w:p>
    <w:p>
      <w:pPr>
        <w:numPr>
          <w:ilvl w:val="255"/>
          <w:numId w:val="0"/>
        </w:numPr>
        <w:ind w:firstLine="48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48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480"/>
        <w:spacing w:line="360" w:lineRule="auto"/>
        <w:rPr>
          <w:rFonts w:hint="eastAsia" w:ascii="宋体" w:hAnsi="宋体"/>
          <w:sz w:val="24"/>
        </w:rPr>
      </w:pPr>
      <w:r>
        <w:rPr>
          <w:rFonts w:hint="eastAsia" w:ascii="宋体" w:hAnsi="宋体"/>
          <w:sz w:val="24"/>
        </w:rPr>
        <w:t xml:space="preserve">是否涉及绿色产品：</w:t>
      </w:r>
      <w:r/>
    </w:p>
    <w:p>
      <w:pPr>
        <w:ind w:firstLine="480"/>
        <w:spacing w:line="360" w:lineRule="auto"/>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是，绿色产品政府采购相关政策确定的底级品目名称：</w:t>
      </w:r>
      <w:r/>
    </w:p>
    <w:p>
      <w:pPr>
        <w:numPr>
          <w:ilvl w:val="255"/>
          <w:numId w:val="0"/>
        </w:numPr>
        <w:ind w:firstLine="48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ind w:firstLine="480"/>
        <w:spacing w:line="360" w:lineRule="auto"/>
        <w:rPr>
          <w:rFonts w:hint="eastAsia" w:ascii="宋体" w:hAnsi="宋体" w:eastAsia="华文楷体" w:cs="华文楷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480"/>
        <w:spacing w:line="360" w:lineRule="auto"/>
        <w:rPr>
          <w:rFonts w:hint="eastAsia" w:ascii="宋体" w:hAnsi="宋体"/>
          <w:sz w:val="24"/>
        </w:rPr>
      </w:pPr>
      <w:r>
        <w:rPr>
          <w:rFonts w:ascii="Wingdings" w:hAnsi="Wingdings" w:eastAsia="Wingdings" w:cs="Wingdings"/>
          <w:sz w:val="24"/>
        </w:rPr>
        <w:t xml:space="preserve">þ</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rPr>
          <w:rFonts w:hint="eastAsia" w:ascii="宋体" w:hAnsi="宋体" w:eastAsia="宋体"/>
          <w:sz w:val="24"/>
        </w:rPr>
        <w:t xml:space="preserve">  </w:t>
      </w:r>
      <w:r>
        <w:rPr>
          <w:rFonts w:ascii="Wingdings" w:hAnsi="Wingdings" w:eastAsia="Wingdings" w:cs="Wingdings"/>
          <w:sz w:val="24"/>
        </w:rPr>
        <w:t xml:space="preserve"></w:t>
      </w:r>
      <w:r>
        <w:rPr>
          <w:rFonts w:hint="eastAsia" w:ascii="宋体" w:hAnsi="宋体"/>
          <w:sz w:val="24"/>
        </w:rPr>
        <w:t xml:space="preserve">不涉及</w:t>
      </w:r>
      <w:r/>
    </w:p>
    <w:p>
      <w:pPr>
        <w:numPr>
          <w:ilvl w:val="0"/>
          <w:numId w:val="1"/>
        </w:numPr>
        <w:spacing w:line="360" w:lineRule="auto"/>
        <w:rPr>
          <w:rFonts w:hint="eastAsia" w:ascii="宋体" w:hAnsi="宋体"/>
          <w:b/>
          <w:sz w:val="24"/>
        </w:rPr>
      </w:pPr>
      <w:r>
        <w:rPr>
          <w:rFonts w:hint="eastAsia" w:ascii="宋体" w:hAnsi="宋体"/>
          <w:b/>
          <w:sz w:val="24"/>
        </w:rPr>
        <w:t xml:space="preserve">合同金额</w:t>
      </w:r>
      <w:r/>
    </w:p>
    <w:p>
      <w:pPr>
        <w:ind w:firstLine="480"/>
        <w:spacing w:line="360" w:lineRule="auto"/>
        <w:rPr>
          <w:rFonts w:hint="eastAsia" w:ascii="宋体" w:hAnsi="宋体"/>
          <w:sz w:val="24"/>
        </w:rPr>
      </w:pPr>
      <w:r>
        <w:rPr>
          <w:rFonts w:hint="eastAsia" w:ascii="宋体" w:hAnsi="宋体"/>
          <w:sz w:val="24"/>
        </w:rPr>
        <w:t xml:space="preserve">（1）合同金额小写：</w:t>
      </w:r>
      <w:r/>
    </w:p>
    <w:p>
      <w:pPr>
        <w:ind w:firstLine="480"/>
        <w:spacing w:line="360" w:lineRule="auto"/>
        <w:rPr>
          <w:rFonts w:hint="eastAsia" w:ascii="宋体" w:hAnsi="宋体"/>
          <w:sz w:val="24"/>
          <w:u w:val="single"/>
        </w:rPr>
      </w:pPr>
      <w:r>
        <w:rPr>
          <w:rFonts w:hint="eastAsia" w:ascii="宋体" w:hAnsi="宋体"/>
          <w:sz w:val="24"/>
        </w:rPr>
        <w:t xml:space="preserve">大写：</w:t>
      </w:r>
      <w:r/>
    </w:p>
    <w:p>
      <w:pPr>
        <w:ind w:firstLine="480"/>
        <w:spacing w:line="360" w:lineRule="auto"/>
        <w:rPr>
          <w:rFonts w:hint="eastAsia" w:ascii="宋体" w:hAnsi="宋体"/>
          <w:sz w:val="24"/>
        </w:rPr>
      </w:pPr>
      <w:r>
        <w:rPr>
          <w:rFonts w:hint="eastAsia" w:ascii="宋体" w:hAnsi="宋体"/>
          <w:sz w:val="24"/>
        </w:rPr>
        <w:t xml:space="preserve">分包金额（如有）小写：</w:t>
      </w:r>
      <w:r/>
    </w:p>
    <w:p>
      <w:pPr>
        <w:ind w:firstLine="480"/>
        <w:spacing w:line="360" w:lineRule="auto"/>
        <w:rPr>
          <w:rFonts w:hint="eastAsia" w:ascii="宋体" w:hAnsi="宋体"/>
          <w:sz w:val="24"/>
          <w:u w:val="single"/>
        </w:rPr>
      </w:pPr>
      <w:r>
        <w:rPr>
          <w:rFonts w:hint="eastAsia" w:ascii="宋体" w:hAnsi="宋体"/>
          <w:sz w:val="24"/>
        </w:rPr>
        <w:t xml:space="preserve">大写：</w:t>
      </w:r>
      <w:r/>
    </w:p>
    <w:p>
      <w:pPr>
        <w:ind w:firstLine="480"/>
        <w:rPr>
          <w:rFonts w:hint="eastAsia" w:ascii="宋体" w:hAnsi="宋体"/>
          <w:sz w:val="24"/>
        </w:rPr>
      </w:pPr>
      <w:r>
        <w:rPr>
          <w:rFonts w:hint="eastAsia" w:ascii="宋体" w:hAnsi="宋体"/>
          <w:sz w:val="24"/>
        </w:rPr>
        <w:t xml:space="preserve">（2）付款方式（按项目实际勾选填写，具体详见专用条款第二节第12.2款）：</w:t>
      </w:r>
      <w:r/>
    </w:p>
    <w:p>
      <w:pPr>
        <w:ind w:firstLine="42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420"/>
        <w:spacing w:line="400" w:lineRule="exact"/>
      </w:pPr>
      <w:r>
        <w:rPr>
          <w:rFonts w:ascii="Wingdings" w:hAnsi="Wingdings" w:eastAsia="Wingdings" w:cs="Wingdings"/>
          <w:szCs w:val="21"/>
        </w:rPr>
        <w:t xml:space="preserve"></w:t>
      </w:r>
      <w:r>
        <w:rPr>
          <w:rFonts w:hint="eastAsia" w:ascii="宋体" w:hAnsi="宋体"/>
          <w:szCs w:val="21"/>
        </w:rPr>
        <w:t xml:space="preserve">分期付款：</w:t>
      </w:r>
      <w:bookmarkStart w:id="171" w:name="OLE_LINK5"/>
      <w:r>
        <w:rPr>
          <w:rFonts w:hint="eastAsia" w:ascii="宋体" w:hAnsi="宋体"/>
          <w:szCs w:val="21"/>
          <w:u w:val="single"/>
        </w:rPr>
        <w:t xml:space="preserve">  ①自合同签订生效之日起，待财政资金到账，收到乙方发票10个工作日内，甲方向乙方支付合同总价的30%款项作为预付款；②设备安装调试完毕并经文物主管部门验收合格，待财政资金到账，收到乙方发票10个工作日内甲方向乙方支付至合同价的100%</w:t>
      </w:r>
      <w:bookmarkStart w:id="172" w:name="OLE_LINK6"/>
      <w:r>
        <w:rPr>
          <w:rFonts w:hint="eastAsia" w:ascii="宋体" w:hAnsi="宋体"/>
          <w:szCs w:val="21"/>
          <w:u w:val="single"/>
        </w:rPr>
        <w:t xml:space="preserve">。</w:t>
      </w:r>
      <w:bookmarkEnd w:id="172"/>
      <w:r>
        <w:rPr>
          <w:rFonts w:hint="eastAsia" w:ascii="宋体" w:hAnsi="宋体"/>
          <w:szCs w:val="21"/>
        </w:rPr>
        <w:t xml:space="preserve">其中涉及预付款的：</w:t>
      </w:r>
      <w:r>
        <w:rPr>
          <w:rFonts w:hint="eastAsia" w:ascii="宋体" w:hAnsi="宋体"/>
          <w:szCs w:val="21"/>
          <w:u w:val="single"/>
        </w:rPr>
        <w:t xml:space="preserve">自合同签订生效之日起，待财政资金到账，收到乙方发票10个工作日内，甲方向乙方支付合同总价的30%款项作为预付款。 </w:t>
      </w:r>
      <w:bookmarkEnd w:id="171"/>
      <w:r/>
      <w:r/>
    </w:p>
    <w:p>
      <w:pPr>
        <w:ind w:firstLine="42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42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
        </w:numPr>
        <w:spacing w:line="360" w:lineRule="auto"/>
        <w:rPr>
          <w:rFonts w:hint="eastAsia" w:ascii="宋体" w:hAnsi="宋体"/>
          <w:b/>
          <w:sz w:val="24"/>
          <w:u w:val="single"/>
        </w:rPr>
      </w:pPr>
      <w:r>
        <w:rPr>
          <w:rFonts w:hint="eastAsia" w:ascii="宋体" w:hAnsi="宋体"/>
          <w:b/>
          <w:sz w:val="24"/>
        </w:rPr>
        <w:t xml:space="preserve">合同履行</w:t>
      </w:r>
      <w:r/>
    </w:p>
    <w:p>
      <w:pPr>
        <w:ind w:firstLine="480"/>
        <w:spacing w:line="360" w:lineRule="auto"/>
        <w:rPr>
          <w:rFonts w:hint="eastAsia" w:ascii="宋体" w:hAnsi="宋体" w:cs="宋体"/>
          <w:sz w:val="24"/>
        </w:rPr>
      </w:pPr>
      <w:r>
        <w:rPr>
          <w:rFonts w:hint="eastAsia" w:ascii="宋体" w:hAnsi="宋体" w:cs="宋体"/>
          <w:sz w:val="24"/>
        </w:rPr>
        <w:t xml:space="preserve">（1）起始日期：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360" w:lineRule="auto"/>
        <w:rPr>
          <w:rFonts w:hint="eastAsia" w:ascii="宋体" w:hAnsi="宋体" w:cs="宋体"/>
          <w:sz w:val="24"/>
          <w:u w:val="single"/>
        </w:rPr>
      </w:pPr>
      <w:r>
        <w:rPr>
          <w:rFonts w:hint="eastAsia" w:ascii="宋体" w:hAnsi="宋体" w:cs="宋体"/>
          <w:sz w:val="24"/>
        </w:rPr>
        <w:t xml:space="preserve">（2）履约地点</w:t>
      </w:r>
      <w:r>
        <w:rPr>
          <w:rFonts w:hint="eastAsia" w:ascii="宋体" w:hAnsi="宋体" w:cs="宋体"/>
          <w:bCs/>
          <w:sz w:val="24"/>
        </w:rPr>
        <w:t xml:space="preserve">：</w:t>
      </w:r>
      <w:r>
        <w:rPr>
          <w:rFonts w:hint="eastAsia" w:ascii="宋体" w:hAnsi="宋体" w:cs="宋体"/>
          <w:bCs/>
          <w:sz w:val="24"/>
          <w:u w:val="single"/>
        </w:rPr>
        <w:t xml:space="preserve"> 甲方指定地点  </w:t>
      </w:r>
      <w:r>
        <w:rPr>
          <w:rFonts w:hint="eastAsia" w:ascii="宋体" w:hAnsi="宋体" w:cs="宋体"/>
          <w:bCs/>
          <w:sz w:val="24"/>
        </w:rPr>
        <w:t xml:space="preserve">  </w:t>
      </w:r>
      <w:r>
        <w:rPr>
          <w:rFonts w:hint="eastAsia" w:ascii="宋体" w:hAnsi="宋体" w:cs="宋体"/>
          <w:bCs/>
        </w:rPr>
        <w:t xml:space="preserve"> </w:t>
      </w:r>
      <w:r>
        <w:rPr>
          <w:rFonts w:hint="eastAsia" w:ascii="宋体" w:hAnsi="宋体" w:cs="宋体"/>
        </w:rPr>
        <w:t xml:space="preserve">                                 </w:t>
      </w:r>
      <w:r/>
    </w:p>
    <w:p>
      <w:pPr>
        <w:ind w:firstLine="480"/>
        <w:spacing w:line="360" w:lineRule="auto"/>
        <w:rPr>
          <w:rFonts w:hint="eastAsia"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履约担保：是否收取履约保证金：</w:t>
      </w:r>
      <w:r>
        <w:rPr>
          <w:rFonts w:ascii="Wingdings" w:hAnsi="Wingdings" w:eastAsia="Wingdings" w:cs="Wingdings"/>
          <w:sz w:val="24"/>
        </w:rPr>
        <w:t xml:space="preserve"></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0"/>
        <w:spacing w:line="360" w:lineRule="auto"/>
        <w:rPr>
          <w:rFonts w:hint="eastAsia" w:ascii="宋体" w:hAnsi="宋体" w:cs="宋体"/>
          <w:sz w:val="24"/>
        </w:rPr>
      </w:pPr>
      <w:r>
        <w:rPr>
          <w:rFonts w:hint="eastAsia" w:ascii="宋体" w:hAnsi="宋体" w:cs="宋体"/>
          <w:sz w:val="24"/>
        </w:rPr>
        <w:t xml:space="preserve">     收取履约保证金形式：</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     收取履约保证金金额：</w:t>
      </w:r>
      <w:r>
        <w:rPr>
          <w:rFonts w:hint="eastAsia" w:ascii="宋体" w:hAnsi="宋体" w:cs="宋体"/>
          <w:bCs/>
          <w:sz w:val="24"/>
          <w:u w:val="single"/>
        </w:rPr>
        <w:t xml:space="preserve">合同金额的10%，采购人对AA评级及以上政府采购供应商（需提供信用管理部门备案的第三方信用报告）免收履约保证金</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hint="eastAsia" w:ascii="宋体" w:hAnsi="宋体" w:cs="宋体"/>
          <w:bCs/>
          <w:sz w:val="24"/>
        </w:rPr>
      </w:pPr>
      <w:r>
        <w:rPr>
          <w:rFonts w:hint="eastAsia" w:ascii="宋体" w:hAnsi="宋体" w:cs="宋体"/>
          <w:sz w:val="24"/>
        </w:rPr>
        <w:t xml:space="preserve">     履约担保期限：</w:t>
      </w:r>
      <w:r>
        <w:rPr>
          <w:rFonts w:hint="eastAsia" w:ascii="宋体" w:hAnsi="宋体" w:cs="宋体"/>
          <w:sz w:val="24"/>
          <w:u w:val="single"/>
        </w:rPr>
        <w:t xml:space="preserve">                           </w:t>
      </w:r>
      <w:r>
        <w:rPr>
          <w:rFonts w:hint="eastAsia" w:ascii="宋体" w:hAnsi="宋体" w:cs="宋体"/>
          <w:bCs/>
          <w:sz w:val="24"/>
        </w:rPr>
        <w:t xml:space="preserve">。</w:t>
      </w:r>
      <w:r/>
    </w:p>
    <w:p>
      <w:pPr>
        <w:ind w:firstLine="480"/>
        <w:spacing w:line="360" w:lineRule="auto"/>
        <w:rPr>
          <w:rFonts w:hint="eastAsia" w:ascii="宋体" w:hAnsi="宋体" w:cs="宋体"/>
          <w:bCs/>
          <w:sz w:val="24"/>
        </w:rPr>
      </w:pPr>
      <w:r>
        <w:rPr>
          <w:rFonts w:ascii="宋体" w:hAnsi="宋体" w:cs="宋体"/>
          <w:bCs/>
          <w:sz w:val="24"/>
        </w:rPr>
        <w:t xml:space="preserve">（4）</w:t>
      </w:r>
      <w:r>
        <w:rPr>
          <w:rFonts w:hint="eastAsia" w:ascii="宋体" w:hAnsi="宋体" w:cs="宋体"/>
          <w:bCs/>
          <w:sz w:val="24"/>
        </w:rPr>
        <w:t xml:space="preserve">确需收取履约保证金的，履约保证金的缴纳形式：</w:t>
      </w:r>
      <w:r/>
    </w:p>
    <w:p>
      <w:pPr>
        <w:ind w:firstLine="480"/>
        <w:spacing w:line="360" w:lineRule="auto"/>
        <w:rPr>
          <w:rFonts w:hint="eastAsia" w:ascii="宋体" w:hAnsi="宋体" w:cs="宋体"/>
          <w:bCs/>
          <w:sz w:val="24"/>
        </w:rPr>
      </w:pPr>
      <w:r>
        <w:rPr>
          <w:rFonts w:hint="eastAsia" w:ascii="宋体" w:hAnsi="宋体" w:cs="宋体"/>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cs="宋体"/>
        </w:rPr>
      </w:pPr>
      <w:r>
        <w:rPr>
          <w:rFonts w:hint="eastAsia" w:ascii="宋体" w:hAnsi="宋体" w:cs="宋体"/>
          <w:bCs/>
          <w:sz w:val="24"/>
        </w:rPr>
        <w:t xml:space="preserve"> 如以履约保函（保险）形式缴纳履约保证金，供应商可通过政府采购电子履约保函（保险）平台（www.jsdzbh.com）在线申请履约保函（保险）。</w:t>
      </w:r>
      <w:r>
        <w:rPr>
          <w:rFonts w:hint="eastAsia" w:ascii="宋体" w:hAnsi="宋体" w:cs="宋体"/>
        </w:rPr>
        <w:t xml:space="preserve">                     </w:t>
      </w:r>
      <w:r/>
    </w:p>
    <w:p>
      <w:pPr>
        <w:ind w:firstLine="480"/>
        <w:spacing w:line="360" w:lineRule="auto"/>
        <w:rPr>
          <w:rFonts w:hint="eastAsia" w:ascii="宋体" w:hAnsi="宋体" w:cs="宋体"/>
          <w:bCs/>
          <w:sz w:val="24"/>
        </w:rPr>
      </w:pPr>
      <w:r>
        <w:rPr>
          <w:rFonts w:hint="eastAsia" w:ascii="宋体" w:hAnsi="宋体" w:cs="宋体"/>
          <w:bCs/>
          <w:sz w:val="24"/>
        </w:rPr>
        <w:t xml:space="preserve">（5）分期履行要求：/</w:t>
      </w:r>
      <w:r/>
    </w:p>
    <w:p>
      <w:pPr>
        <w:ind w:firstLine="480"/>
        <w:spacing w:line="360" w:lineRule="auto"/>
        <w:rPr>
          <w:rFonts w:hint="eastAsia" w:ascii="宋体" w:hAnsi="宋体" w:cs="宋体"/>
          <w:sz w:val="24"/>
          <w:u w:val="single"/>
        </w:rPr>
      </w:pPr>
      <w:r>
        <w:rPr>
          <w:rFonts w:hint="eastAsia" w:ascii="宋体" w:hAnsi="宋体" w:cs="宋体"/>
          <w:bCs/>
          <w:sz w:val="24"/>
        </w:rPr>
        <w:t xml:space="preserve">（6）风险处置措施和替代方案：/</w:t>
      </w:r>
      <w:r/>
    </w:p>
    <w:p>
      <w:pPr>
        <w:numPr>
          <w:ilvl w:val="0"/>
          <w:numId w:val="1"/>
        </w:numPr>
        <w:spacing w:line="360" w:lineRule="auto"/>
        <w:rPr>
          <w:rFonts w:hint="eastAsia" w:ascii="宋体" w:hAnsi="宋体"/>
          <w:b/>
          <w:sz w:val="24"/>
        </w:rPr>
      </w:pPr>
      <w:r>
        <w:rPr>
          <w:rFonts w:hint="eastAsia" w:ascii="宋体" w:hAnsi="宋体"/>
          <w:b/>
          <w:sz w:val="24"/>
        </w:rPr>
        <w:t xml:space="preserve">合同验收</w:t>
      </w:r>
      <w:r/>
    </w:p>
    <w:p>
      <w:pPr>
        <w:numPr>
          <w:ilvl w:val="0"/>
          <w:numId w:val="3"/>
        </w:numPr>
        <w:ind w:firstLine="480"/>
        <w:spacing w:line="360" w:lineRule="auto"/>
        <w:rPr>
          <w:rFonts w:hint="eastAsia" w:ascii="宋体" w:hAnsi="宋体"/>
          <w:bCs/>
          <w:sz w:val="24"/>
        </w:rPr>
      </w:pPr>
      <w:r>
        <w:rPr>
          <w:rFonts w:hint="eastAsia" w:ascii="宋体" w:hAnsi="宋体"/>
          <w:bCs/>
          <w:sz w:val="24"/>
        </w:rPr>
        <w:t xml:space="preserve">验收组织方式：</w:t>
      </w:r>
      <w:r>
        <w:rPr>
          <w:rFonts w:ascii="Wingdings" w:hAnsi="Wingdings" w:eastAsia="Wingdings" w:cs="Wingdings"/>
          <w:sz w:val="24"/>
        </w:rPr>
        <w:t xml:space="preserve"></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p>
    <w:p>
      <w:pPr>
        <w:ind w:firstLine="480"/>
        <w:spacing w:line="360" w:lineRule="auto"/>
        <w:rPr>
          <w:rFonts w:hint="eastAsia" w:ascii="宋体" w:hAnsi="宋体" w:cs="宋体"/>
          <w:sz w:val="24"/>
        </w:rPr>
      </w:pPr>
      <w:r>
        <w:rPr>
          <w:rFonts w:hint="eastAsia" w:ascii="宋体" w:hAnsi="宋体"/>
          <w:bCs/>
          <w:sz w:val="24"/>
        </w:rPr>
        <w:t xml:space="preserve">验收主体：</w:t>
      </w:r>
      <w:r>
        <w:rPr>
          <w:rFonts w:hint="eastAsia" w:ascii="宋体" w:hAnsi="宋体" w:cs="宋体"/>
          <w:bCs/>
          <w:sz w:val="24"/>
          <w:u w:val="single"/>
        </w:rPr>
        <w:t xml:space="preserve">文物主管部门</w:t>
      </w:r>
      <w:r>
        <w:rPr>
          <w:rFonts w:hint="eastAsia" w:ascii="宋体" w:hAnsi="宋体" w:cs="宋体"/>
          <w:sz w:val="24"/>
        </w:rPr>
        <w:t xml:space="preserve"> </w:t>
      </w:r>
      <w:r/>
    </w:p>
    <w:p>
      <w:pPr>
        <w:ind w:firstLine="480"/>
        <w:spacing w:line="360" w:lineRule="auto"/>
        <w:rPr>
          <w:rFonts w:hint="eastAsia"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480"/>
        <w:spacing w:line="360" w:lineRule="auto"/>
        <w:rPr>
          <w:rFonts w:hint="eastAsia"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480"/>
        <w:spacing w:line="360" w:lineRule="auto"/>
        <w:rPr>
          <w:rFonts w:hint="eastAsia"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480"/>
        <w:spacing w:line="360" w:lineRule="auto"/>
        <w:rPr>
          <w:rFonts w:hint="eastAsia"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480"/>
        <w:spacing w:line="360" w:lineRule="auto"/>
        <w:rPr>
          <w:rFonts w:hint="eastAsia"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w:t>
      </w:r>
      <w:r>
        <w:rPr>
          <w:rFonts w:hint="eastAsia" w:ascii="宋体" w:hAnsi="宋体"/>
          <w:bCs/>
          <w:sz w:val="24"/>
        </w:rPr>
        <w:t xml:space="preserve">是，抽查比例：</w:t>
      </w:r>
      <w:r>
        <w:rPr>
          <w:rFonts w:ascii="Wingdings" w:hAnsi="Wingdings" w:eastAsia="Wingdings" w:cs="Wingdings"/>
          <w:sz w:val="24"/>
        </w:rPr>
        <w:t xml:space="preserve"></w:t>
      </w:r>
      <w:r>
        <w:rPr>
          <w:rFonts w:hint="eastAsia" w:ascii="宋体" w:hAnsi="宋体"/>
          <w:bCs/>
          <w:sz w:val="24"/>
        </w:rPr>
        <w:t xml:space="preserve">否</w:t>
      </w:r>
      <w:r/>
    </w:p>
    <w:p>
      <w:pPr>
        <w:ind w:firstLine="480"/>
        <w:spacing w:line="360" w:lineRule="auto"/>
        <w:rPr>
          <w:rFonts w:hint="eastAsia"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u w:val="single"/>
        </w:rPr>
        <w:t xml:space="preserve">（应明确对被破坏的检测产品的处理方式）</w:t>
      </w:r>
      <w:r/>
    </w:p>
    <w:p>
      <w:pPr>
        <w:ind w:firstLine="2880"/>
        <w:spacing w:line="360" w:lineRule="auto"/>
        <w:rPr>
          <w:rFonts w:hint="eastAsia" w:ascii="宋体" w:hAnsi="宋体"/>
          <w:bCs/>
          <w:sz w:val="24"/>
        </w:rPr>
      </w:pPr>
      <w:r>
        <w:rPr>
          <w:rFonts w:ascii="Wingdings" w:hAnsi="Wingdings" w:eastAsia="Wingdings" w:cs="Wingdings"/>
          <w:sz w:val="24"/>
        </w:rPr>
        <w:t xml:space="preserve"></w:t>
      </w:r>
      <w:r>
        <w:rPr>
          <w:rFonts w:hint="eastAsia" w:ascii="宋体" w:hAnsi="宋体"/>
          <w:bCs/>
          <w:sz w:val="24"/>
        </w:rPr>
        <w:t xml:space="preserve">否</w:t>
      </w:r>
      <w:r/>
    </w:p>
    <w:p>
      <w:pPr>
        <w:ind w:firstLine="480"/>
        <w:spacing w:line="360" w:lineRule="auto"/>
        <w:rPr>
          <w:rFonts w:hint="eastAsia" w:ascii="宋体" w:hAnsi="宋体"/>
          <w:bCs/>
          <w:sz w:val="24"/>
          <w:u w:val="single"/>
        </w:rPr>
      </w:pPr>
      <w:r>
        <w:rPr>
          <w:rFonts w:hint="eastAsia" w:ascii="宋体" w:hAnsi="宋体"/>
          <w:bCs/>
          <w:sz w:val="24"/>
        </w:rPr>
        <w:t xml:space="preserve">验收组织的其他事项：</w:t>
      </w:r>
      <w:r/>
    </w:p>
    <w:p>
      <w:pPr>
        <w:ind w:firstLine="200"/>
        <w:spacing w:line="360" w:lineRule="auto"/>
        <w:rPr>
          <w:rFonts w:hint="eastAsia"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供应商根据招标文件和采购合同规定提出验收申请后及时组织验收</w:t>
      </w:r>
      <w:r/>
    </w:p>
    <w:p>
      <w:pPr>
        <w:ind w:firstLine="200"/>
        <w:spacing w:line="360" w:lineRule="auto"/>
        <w:rPr>
          <w:rFonts w:hint="eastAsia" w:ascii="宋体" w:hAnsi="宋体"/>
          <w:bCs/>
          <w:sz w:val="24"/>
        </w:rPr>
      </w:pPr>
      <w:r>
        <w:rPr>
          <w:rFonts w:hint="eastAsia" w:ascii="宋体" w:hAnsi="宋体"/>
          <w:bCs/>
          <w:sz w:val="24"/>
        </w:rPr>
        <w:t xml:space="preserve">（3）履约验收方式：</w:t>
      </w:r>
      <w:r/>
    </w:p>
    <w:p>
      <w:pPr>
        <w:ind w:firstLine="480"/>
        <w:spacing w:line="360" w:lineRule="auto"/>
        <w:rPr>
          <w:rFonts w:hint="eastAsia" w:ascii="宋体" w:hAnsi="宋体"/>
          <w:bCs/>
          <w:sz w:val="24"/>
        </w:rPr>
      </w:pPr>
      <w:r>
        <w:rPr>
          <w:rFonts w:ascii="Wingdings" w:hAnsi="Wingdings" w:eastAsia="Wingdings" w:cs="Wingdings"/>
          <w:sz w:val="24"/>
        </w:rPr>
        <w:t xml:space="preserve"></w:t>
      </w:r>
      <w:r>
        <w:rPr>
          <w:rFonts w:hint="eastAsia" w:ascii="宋体" w:hAnsi="宋体"/>
          <w:bCs/>
          <w:sz w:val="24"/>
        </w:rPr>
        <w:t xml:space="preserve">一次性验收         </w:t>
      </w:r>
      <w:r/>
    </w:p>
    <w:p>
      <w:pPr>
        <w:ind w:firstLine="480"/>
        <w:spacing w:line="360" w:lineRule="auto"/>
        <w:rPr>
          <w:rFonts w:hint="eastAsia" w:ascii="宋体" w:hAnsi="宋体"/>
          <w:bCs/>
          <w:sz w:val="24"/>
        </w:rPr>
      </w:pPr>
      <w:r>
        <w:rPr>
          <w:rFonts w:ascii="Wingdings" w:hAnsi="Wingdings" w:eastAsia="Wingdings" w:cs="Wingdings"/>
          <w:sz w:val="24"/>
        </w:rPr>
        <w:t xml:space="preserve"></w:t>
      </w:r>
      <w:r>
        <w:rPr>
          <w:rFonts w:hint="eastAsia" w:ascii="宋体" w:hAnsi="宋体"/>
          <w:bCs/>
          <w:sz w:val="24"/>
        </w:rPr>
        <w:t xml:space="preserve">分期/分项验收：</w:t>
      </w:r>
      <w:r>
        <w:rPr>
          <w:rFonts w:hint="eastAsia" w:ascii="宋体" w:hAnsi="宋体"/>
          <w:bCs/>
          <w:sz w:val="24"/>
          <w:u w:val="single"/>
        </w:rPr>
        <w:t xml:space="preserve">（应明确分期</w:t>
      </w:r>
      <w:r>
        <w:rPr>
          <w:rFonts w:ascii="宋体" w:hAnsi="宋体"/>
          <w:bCs/>
          <w:sz w:val="24"/>
          <w:u w:val="single"/>
        </w:rPr>
        <w:t xml:space="preserve">/</w:t>
      </w:r>
      <w:r>
        <w:rPr>
          <w:rFonts w:hint="eastAsia" w:ascii="宋体" w:hAnsi="宋体"/>
          <w:bCs/>
          <w:sz w:val="24"/>
          <w:u w:val="single"/>
        </w:rPr>
        <w:t xml:space="preserve">分项验收的工作安排）</w:t>
      </w:r>
      <w:r/>
    </w:p>
    <w:p>
      <w:pPr>
        <w:ind w:firstLine="200"/>
        <w:spacing w:line="360" w:lineRule="auto"/>
        <w:rPr>
          <w:rFonts w:hint="eastAsia" w:ascii="宋体" w:hAnsi="宋体"/>
          <w:bCs/>
          <w:sz w:val="24"/>
        </w:rPr>
      </w:pPr>
      <w:r>
        <w:rPr>
          <w:rFonts w:hint="eastAsia" w:ascii="宋体" w:hAnsi="宋体"/>
          <w:bCs/>
          <w:sz w:val="24"/>
        </w:rPr>
        <w:t xml:space="preserve">（4）履约验收程序：</w:t>
      </w:r>
      <w:r>
        <w:rPr>
          <w:rFonts w:hint="eastAsia" w:ascii="宋体" w:hAnsi="宋体"/>
          <w:bCs/>
          <w:sz w:val="24"/>
          <w:u w:val="single"/>
        </w:rPr>
        <w:t xml:space="preserve">按招标文件和采购合同规定。</w:t>
      </w:r>
      <w:r/>
    </w:p>
    <w:p>
      <w:pPr>
        <w:ind w:firstLine="200"/>
        <w:spacing w:line="360" w:lineRule="auto"/>
        <w:rPr>
          <w:rFonts w:hint="eastAsia" w:ascii="宋体" w:hAnsi="宋体"/>
          <w:bCs/>
          <w:sz w:val="24"/>
          <w:u w:val="single"/>
        </w:rPr>
      </w:pPr>
      <w:r>
        <w:rPr>
          <w:rFonts w:hint="eastAsia" w:ascii="宋体" w:hAnsi="宋体"/>
          <w:bCs/>
          <w:sz w:val="24"/>
        </w:rPr>
        <w:t xml:space="preserve">（5）履约验收的内容：</w:t>
      </w:r>
      <w:r>
        <w:rPr>
          <w:rFonts w:hint="eastAsia" w:ascii="宋体" w:hAnsi="宋体"/>
          <w:bCs/>
          <w:sz w:val="24"/>
          <w:u w:val="single"/>
        </w:rPr>
        <w:t xml:space="preserve">按招标文件和采购合同规定，包括每一项技术和商务要求的履约情况。</w:t>
      </w:r>
      <w:r/>
    </w:p>
    <w:p>
      <w:pPr>
        <w:ind w:firstLine="240"/>
        <w:spacing w:line="360" w:lineRule="auto"/>
        <w:rPr>
          <w:rFonts w:hint="eastAsia" w:ascii="宋体" w:hAnsi="宋体"/>
          <w:bCs/>
          <w:sz w:val="24"/>
          <w:u w:val="single"/>
        </w:rPr>
      </w:pPr>
      <w:r>
        <w:rPr>
          <w:rFonts w:hint="eastAsia" w:ascii="宋体" w:hAnsi="宋体"/>
          <w:bCs/>
          <w:sz w:val="24"/>
        </w:rPr>
        <w:t xml:space="preserve">（6）履约验收标准：</w:t>
      </w:r>
      <w:r>
        <w:rPr>
          <w:rFonts w:hint="eastAsia" w:ascii="宋体" w:hAnsi="宋体"/>
          <w:bCs/>
          <w:sz w:val="24"/>
          <w:u w:val="single"/>
        </w:rPr>
        <w:t xml:space="preserve">按招标文件和采购合同规定。</w:t>
      </w:r>
      <w:r/>
    </w:p>
    <w:p>
      <w:pPr>
        <w:ind w:firstLine="240"/>
        <w:jc w:val="left"/>
        <w:spacing w:line="360" w:lineRule="auto"/>
        <w:rPr>
          <w:rFonts w:hint="eastAsia" w:ascii="宋体" w:hAnsi="宋体" w:cs="宋体"/>
          <w:sz w:val="24"/>
        </w:rPr>
      </w:pPr>
      <w:r>
        <w:rPr>
          <w:rFonts w:hint="eastAsia" w:ascii="宋体" w:hAnsi="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bCs/>
          <w:sz w:val="24"/>
        </w:rPr>
        <w:t xml:space="preserve">是  </w:t>
      </w:r>
      <w:r>
        <w:rPr>
          <w:rFonts w:ascii="Wingdings" w:hAnsi="Wingdings" w:eastAsia="Wingdings" w:cs="Wingdings"/>
          <w:sz w:val="24"/>
        </w:rPr>
        <w:t xml:space="preserve"></w:t>
      </w:r>
      <w:r>
        <w:rPr>
          <w:rFonts w:hint="eastAsia" w:ascii="宋体" w:hAnsi="宋体" w:cs="宋体"/>
          <w:bCs/>
          <w:sz w:val="24"/>
        </w:rPr>
        <w:t xml:space="preserve">否</w:t>
      </w:r>
      <w:r/>
    </w:p>
    <w:p>
      <w:pPr>
        <w:ind w:firstLine="240"/>
        <w:spacing w:line="360" w:lineRule="auto"/>
        <w:rPr>
          <w:rFonts w:hint="eastAsia" w:ascii="宋体" w:hAnsi="宋体" w:cs="宋体"/>
          <w:bCs/>
          <w:sz w:val="24"/>
          <w:u w:val="single"/>
        </w:rPr>
      </w:pPr>
      <w:r>
        <w:rPr>
          <w:rFonts w:hint="eastAsia" w:ascii="宋体" w:hAnsi="宋体" w:cs="宋体"/>
          <w:bCs/>
          <w:sz w:val="24"/>
        </w:rPr>
        <w:t xml:space="preserve">（8）履约验收其他事项：</w:t>
      </w:r>
      <w:r>
        <w:rPr>
          <w:rFonts w:hint="eastAsia" w:ascii="宋体" w:hAnsi="宋体" w:cs="宋体"/>
          <w:bCs/>
          <w:sz w:val="24"/>
          <w:u w:val="single"/>
        </w:rPr>
        <w:t xml:space="preserve">（产权过户登记等）</w:t>
      </w:r>
      <w:r/>
    </w:p>
    <w:p>
      <w:pPr>
        <w:numPr>
          <w:ilvl w:val="0"/>
          <w:numId w:val="1"/>
        </w:numPr>
        <w:spacing w:line="360" w:lineRule="auto"/>
        <w:rPr>
          <w:rFonts w:hint="eastAsia" w:ascii="宋体" w:hAnsi="宋体"/>
          <w:b/>
          <w:sz w:val="24"/>
        </w:rPr>
      </w:pPr>
      <w:r>
        <w:rPr>
          <w:rFonts w:hint="eastAsia" w:ascii="宋体" w:hAnsi="宋体"/>
          <w:b/>
          <w:sz w:val="24"/>
        </w:rPr>
        <w:t xml:space="preserve">组成合同的文件</w:t>
      </w:r>
      <w:r/>
    </w:p>
    <w:p>
      <w:pPr>
        <w:ind w:firstLine="480"/>
        <w:spacing w:line="360" w:lineRule="auto"/>
        <w:rPr>
          <w:rFonts w:hint="eastAsia"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spacing w:line="360" w:lineRule="auto"/>
        <w:rPr>
          <w:rFonts w:hint="eastAsia" w:ascii="宋体" w:hAnsi="宋体"/>
          <w:sz w:val="24"/>
        </w:rPr>
      </w:pPr>
      <w:r>
        <w:rPr>
          <w:rFonts w:hint="eastAsia" w:ascii="宋体" w:hAnsi="宋体"/>
          <w:sz w:val="24"/>
        </w:rPr>
        <w:t xml:space="preserve">（1）政府采购合同协议书及其变更、补充协议</w:t>
      </w:r>
      <w:r/>
    </w:p>
    <w:p>
      <w:pPr>
        <w:spacing w:line="360" w:lineRule="auto"/>
        <w:rPr>
          <w:rFonts w:hint="eastAsia" w:ascii="宋体" w:hAnsi="宋体"/>
          <w:sz w:val="24"/>
        </w:rPr>
      </w:pPr>
      <w:r>
        <w:rPr>
          <w:rFonts w:hint="eastAsia" w:ascii="宋体" w:hAnsi="宋体"/>
          <w:sz w:val="24"/>
        </w:rPr>
        <w:t xml:space="preserve">（2）政府采购合同专用条款</w:t>
      </w:r>
      <w:r/>
    </w:p>
    <w:p>
      <w:pPr>
        <w:spacing w:line="360" w:lineRule="auto"/>
        <w:rPr>
          <w:rFonts w:hint="eastAsia" w:ascii="宋体" w:hAnsi="宋体"/>
          <w:sz w:val="24"/>
        </w:rPr>
      </w:pPr>
      <w:r>
        <w:rPr>
          <w:rFonts w:hint="eastAsia" w:ascii="宋体" w:hAnsi="宋体"/>
          <w:sz w:val="24"/>
        </w:rPr>
        <w:t xml:space="preserve">（3）政府采购合同通用条款</w:t>
      </w:r>
      <w:r/>
    </w:p>
    <w:p>
      <w:pPr>
        <w:spacing w:line="360" w:lineRule="auto"/>
        <w:rPr>
          <w:rFonts w:hint="eastAsia" w:ascii="宋体" w:hAnsi="宋体"/>
          <w:sz w:val="24"/>
        </w:rPr>
      </w:pPr>
      <w:r>
        <w:rPr>
          <w:rFonts w:hint="eastAsia" w:ascii="宋体" w:hAnsi="宋体"/>
          <w:sz w:val="24"/>
        </w:rPr>
        <w:t xml:space="preserve">（4）中标（成交）通知书</w:t>
      </w:r>
      <w:r/>
    </w:p>
    <w:p>
      <w:pPr>
        <w:spacing w:line="360" w:lineRule="auto"/>
        <w:rPr>
          <w:rFonts w:hint="eastAsia" w:ascii="宋体" w:hAnsi="宋体"/>
          <w:sz w:val="24"/>
        </w:rPr>
      </w:pPr>
      <w:r>
        <w:rPr>
          <w:rFonts w:hint="eastAsia" w:ascii="宋体" w:hAnsi="宋体"/>
          <w:sz w:val="24"/>
        </w:rPr>
        <w:t xml:space="preserve">（5）投标（响应）文件</w:t>
      </w:r>
      <w:r/>
    </w:p>
    <w:p>
      <w:pPr>
        <w:spacing w:line="360" w:lineRule="auto"/>
        <w:rPr>
          <w:rFonts w:hint="eastAsia" w:ascii="宋体" w:hAnsi="宋体"/>
          <w:sz w:val="24"/>
        </w:rPr>
      </w:pPr>
      <w:r>
        <w:rPr>
          <w:rFonts w:hint="eastAsia" w:ascii="宋体" w:hAnsi="宋体"/>
          <w:sz w:val="24"/>
        </w:rPr>
        <w:t xml:space="preserve">（6）采购文件</w:t>
      </w:r>
      <w:r/>
    </w:p>
    <w:p>
      <w:pPr>
        <w:spacing w:line="360" w:lineRule="auto"/>
        <w:rPr>
          <w:rFonts w:hint="eastAsia" w:ascii="宋体" w:hAnsi="宋体"/>
          <w:sz w:val="24"/>
        </w:rPr>
      </w:pPr>
      <w:r>
        <w:rPr>
          <w:rFonts w:hint="eastAsia" w:ascii="宋体" w:hAnsi="宋体"/>
          <w:sz w:val="24"/>
        </w:rPr>
        <w:t xml:space="preserve">（7）有关技术文件，图纸</w:t>
      </w:r>
      <w:r/>
    </w:p>
    <w:p>
      <w:pPr>
        <w:spacing w:line="360" w:lineRule="auto"/>
        <w:rPr>
          <w:rFonts w:hint="eastAsia" w:ascii="宋体" w:hAnsi="宋体"/>
          <w:sz w:val="24"/>
        </w:rPr>
      </w:pPr>
      <w:r>
        <w:rPr>
          <w:rFonts w:hint="eastAsia" w:ascii="宋体" w:hAnsi="宋体"/>
          <w:sz w:val="24"/>
        </w:rPr>
        <w:t xml:space="preserve">（8）国家法律、行政法规和规章制度规定或合同约定的作为合同组成部分的其他文件</w:t>
      </w:r>
      <w:r/>
    </w:p>
    <w:p>
      <w:pPr>
        <w:ind w:firstLine="422"/>
        <w:spacing w:line="400" w:lineRule="exact"/>
        <w:rPr>
          <w:rFonts w:hint="eastAsia" w:ascii="宋体" w:hAnsi="宋体"/>
          <w:b/>
          <w:szCs w:val="21"/>
        </w:rPr>
      </w:pPr>
      <w:r>
        <w:rPr>
          <w:rFonts w:hint="eastAsia" w:ascii="宋体" w:hAnsi="宋体"/>
          <w:b/>
          <w:szCs w:val="21"/>
        </w:rPr>
        <w:t xml:space="preserve">6.</w:t>
      </w:r>
      <w:r>
        <w:rPr>
          <w:rFonts w:hint="eastAsia" w:ascii="宋体" w:hAnsi="宋体"/>
          <w:b/>
          <w:sz w:val="24"/>
        </w:rPr>
        <w:t xml:space="preserve">合同生效</w:t>
      </w:r>
      <w:r/>
    </w:p>
    <w:p>
      <w:pPr>
        <w:ind w:firstLine="480"/>
        <w:spacing w:line="360" w:lineRule="auto"/>
        <w:rPr>
          <w:rFonts w:hint="eastAsia"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p>
    <w:p>
      <w:pPr>
        <w:spacing w:line="360" w:lineRule="auto"/>
        <w:rPr>
          <w:rFonts w:hint="eastAsia" w:ascii="宋体" w:hAnsi="宋体"/>
          <w:b/>
          <w:sz w:val="24"/>
        </w:rPr>
      </w:pPr>
      <w:r>
        <w:rPr>
          <w:rFonts w:hint="eastAsia" w:ascii="宋体" w:hAnsi="宋体"/>
          <w:b/>
          <w:sz w:val="24"/>
        </w:rPr>
        <w:t xml:space="preserve">7.合同份数</w:t>
      </w:r>
      <w:r/>
    </w:p>
    <w:p>
      <w:pPr>
        <w:spacing w:line="360" w:lineRule="auto"/>
        <w:rPr>
          <w:rFonts w:hint="eastAsia" w:ascii="宋体" w:hAnsi="宋体"/>
          <w:sz w:val="24"/>
        </w:rPr>
      </w:pPr>
      <w:r>
        <w:rPr>
          <w:rFonts w:hint="eastAsia" w:ascii="宋体" w:hAnsi="宋体"/>
          <w:sz w:val="24"/>
        </w:rPr>
        <w:t xml:space="preserve">本合同一式</w:t>
      </w:r>
      <w:r>
        <w:rPr>
          <w:rFonts w:hint="eastAsia" w:ascii="宋体" w:hAnsi="宋体"/>
          <w:sz w:val="24"/>
          <w:u w:val="single"/>
        </w:rPr>
        <w:t xml:space="preserve">   </w:t>
      </w:r>
      <w:r>
        <w:rPr>
          <w:rFonts w:hint="eastAsia" w:ascii="宋体" w:hAnsi="宋体"/>
          <w:sz w:val="24"/>
        </w:rPr>
        <w:t xml:space="preserve">份，甲方执</w:t>
      </w:r>
      <w:r>
        <w:rPr>
          <w:rFonts w:hint="eastAsia" w:ascii="宋体" w:hAnsi="宋体"/>
          <w:sz w:val="24"/>
          <w:u w:val="single"/>
        </w:rPr>
        <w:t xml:space="preserve">   </w:t>
      </w:r>
      <w:r>
        <w:rPr>
          <w:rFonts w:hint="eastAsia" w:ascii="宋体" w:hAnsi="宋体"/>
          <w:sz w:val="24"/>
        </w:rPr>
        <w:t xml:space="preserve">份，乙方执</w:t>
      </w:r>
      <w:r>
        <w:rPr>
          <w:rFonts w:hint="eastAsia" w:ascii="宋体" w:hAnsi="宋体"/>
          <w:sz w:val="24"/>
          <w:u w:val="single"/>
        </w:rPr>
        <w:t xml:space="preserve">   </w:t>
      </w:r>
      <w:r>
        <w:rPr>
          <w:rFonts w:hint="eastAsia" w:ascii="宋体" w:hAnsi="宋体"/>
          <w:sz w:val="24"/>
        </w:rPr>
        <w:t xml:space="preserve">份，均具有同等法律效力。</w:t>
      </w:r>
      <w:r/>
    </w:p>
    <w:p>
      <w:pPr>
        <w:spacing w:line="360" w:lineRule="auto"/>
        <w:rPr>
          <w:rFonts w:hint="eastAsia" w:ascii="宋体" w:hAnsi="宋体"/>
          <w:sz w:val="24"/>
        </w:rPr>
      </w:pPr>
      <w:r>
        <w:rPr>
          <w:rFonts w:hint="eastAsia" w:ascii="宋体" w:hAnsi="宋体"/>
          <w:sz w:val="24"/>
        </w:rPr>
        <w:t xml:space="preserve">合同订立时间：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spacing w:line="360" w:lineRule="auto"/>
        <w:rPr>
          <w:rFonts w:hint="eastAsia" w:ascii="宋体" w:hAnsi="宋体"/>
          <w:sz w:val="24"/>
        </w:rPr>
      </w:pPr>
      <w:r>
        <w:rPr>
          <w:rFonts w:hint="eastAsia" w:ascii="宋体" w:hAnsi="宋体"/>
          <w:sz w:val="24"/>
        </w:rPr>
        <w:t xml:space="preserve">合同订立地点：</w:t>
      </w:r>
      <w:r>
        <w:rPr>
          <w:rFonts w:hint="eastAsia" w:ascii="宋体" w:hAnsi="宋体"/>
          <w:sz w:val="24"/>
          <w:u w:val="single"/>
        </w:rPr>
        <w:t xml:space="preserve">   </w:t>
      </w:r>
      <w:r>
        <w:rPr>
          <w:rFonts w:hint="eastAsia" w:ascii="宋体" w:hAnsi="宋体" w:eastAsia="宋体"/>
          <w:sz w:val="24"/>
          <w:u w:val="single"/>
        </w:rPr>
        <w:t xml:space="preserve">    </w:t>
      </w:r>
      <w:r>
        <w:rPr>
          <w:rFonts w:hint="eastAsia" w:ascii="宋体" w:hAnsi="宋体"/>
          <w:sz w:val="24"/>
        </w:rPr>
        <w:t xml:space="preserve">                           </w:t>
      </w:r>
      <w:r/>
    </w:p>
    <w:p>
      <w:pPr>
        <w:spacing w:line="360" w:lineRule="auto"/>
        <w:rPr>
          <w:rFonts w:hint="eastAsia" w:ascii="宋体" w:hAnsi="宋体"/>
          <w:sz w:val="24"/>
        </w:rPr>
      </w:pPr>
      <w:r>
        <w:rPr>
          <w:rFonts w:hint="eastAsia" w:ascii="宋体" w:hAnsi="宋体"/>
          <w:sz w:val="24"/>
        </w:rPr>
        <w:t xml:space="preserve">附件：具体标的及其技术要求和商务要求、联合协议、分包意向协议等。</w:t>
      </w:r>
      <w:r/>
    </w:p>
    <w:p>
      <w:pPr>
        <w:ind w:firstLine="480"/>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u w:val="single"/>
        </w:rPr>
      </w:pPr>
      <w:r>
        <w:rPr>
          <w:rFonts w:hint="eastAsia"/>
          <w:sz w:val="24"/>
        </w:rPr>
        <w:br w:type="page" w:clear="all"/>
      </w:r>
      <w:r/>
    </w:p>
    <w:p>
      <w:pPr>
        <w:ind w:firstLine="420"/>
        <w:spacing w:line="360" w:lineRule="auto"/>
        <w:rPr>
          <w:szCs w:val="21"/>
        </w:rPr>
      </w:pPr>
      <w:r>
        <w:rPr>
          <w:szCs w:val="21"/>
        </w:rPr>
      </w:r>
      <w:r/>
    </w:p>
    <w:tbl>
      <w:tblPr>
        <w:tblStyle w:val="658"/>
        <w:tblW w:w="4925"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507"/>
        <w:gridCol w:w="2192"/>
        <w:gridCol w:w="2430"/>
        <w:gridCol w:w="2020"/>
      </w:tblGrid>
      <w:tr>
        <w:trPr>
          <w:trHeight w:val="490"/>
        </w:trPr>
        <w:tc>
          <w:tcPr>
            <w:gridSpan w:val="2"/>
            <w:tcBorders>
              <w:bottom w:val="single" w:color="000000" w:sz="2" w:space="0"/>
              <w:right w:val="single" w:color="000000" w:sz="2" w:space="0"/>
            </w:tcBorders>
            <w:tcW w:w="4435" w:type="dxa"/>
            <w:vAlign w:val="center"/>
            <w:textDirection w:val="lrTb"/>
            <w:noWrap w:val="false"/>
          </w:tcPr>
          <w:p>
            <w:pPr>
              <w:ind w:firstLine="0"/>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Borders>
              <w:left w:val="single" w:color="000000" w:sz="2" w:space="0"/>
              <w:bottom w:val="single" w:color="000000" w:sz="2" w:space="0"/>
            </w:tcBorders>
            <w:tcW w:w="4199" w:type="dxa"/>
            <w:vAlign w:val="center"/>
            <w:textDirection w:val="lrTb"/>
            <w:noWrap w:val="false"/>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Borders>
              <w:top w:val="single" w:color="000000" w:sz="2" w:space="0"/>
              <w:bottom w:val="single" w:color="000000" w:sz="2" w:space="0"/>
              <w:right w:val="single" w:color="000000" w:sz="2" w:space="0"/>
            </w:tcBorders>
            <w:tcW w:w="2366" w:type="dxa"/>
            <w:vAlign w:val="center"/>
            <w:textDirection w:val="lrTb"/>
            <w:noWrap w:val="false"/>
          </w:tcPr>
          <w:p>
            <w:pPr>
              <w:ind w:firstLine="0"/>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069"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cantSplit/>
          <w:trHeight w:val="1171"/>
        </w:trPr>
        <w:tc>
          <w:tcPr>
            <w:tcBorders>
              <w:top w:val="single" w:color="000000" w:sz="2" w:space="0"/>
              <w:right w:val="single" w:color="000000" w:sz="2" w:space="0"/>
            </w:tcBorders>
            <w:tcW w:w="2366" w:type="dxa"/>
            <w:vAlign w:val="center"/>
            <w:vMerge w:val="restart"/>
            <w:textDirection w:val="lrTb"/>
            <w:noWrap w:val="false"/>
          </w:tcPr>
          <w:p>
            <w:pPr>
              <w:ind w:firstLine="0"/>
              <w:spacing w:line="360" w:lineRule="auto"/>
              <w:rPr>
                <w:sz w:val="24"/>
              </w:rPr>
            </w:pPr>
            <w:r>
              <w:rPr>
                <w:sz w:val="24"/>
              </w:rPr>
              <w:t xml:space="preserve">法定代表人</w:t>
            </w: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right w:val="single" w:color="000000" w:sz="2" w:space="0"/>
            </w:tcBorders>
            <w:tcW w:w="2069" w:type="dxa"/>
            <w:vAlign w:val="center"/>
            <w:vMerge w:val="restart"/>
            <w:textDirection w:val="lrTb"/>
            <w:noWrap w:val="false"/>
          </w:tcPr>
          <w:p>
            <w:pPr>
              <w:jc w:val="center"/>
              <w:spacing w:line="360" w:lineRule="auto"/>
              <w:rPr>
                <w:sz w:val="24"/>
              </w:rPr>
            </w:pPr>
            <w:r>
              <w:rPr>
                <w:sz w:val="24"/>
              </w:rPr>
            </w:r>
            <w:r/>
          </w:p>
        </w:tc>
        <w:tc>
          <w:tcPr>
            <w:tcBorders>
              <w:top w:val="single" w:color="000000" w:sz="2" w:space="0"/>
              <w:left w:val="single" w:color="000000" w:sz="2" w:space="0"/>
              <w:right w:val="single" w:color="000000" w:sz="2" w:space="0"/>
            </w:tcBorders>
            <w:tcW w:w="2293" w:type="dxa"/>
            <w:vAlign w:val="center"/>
            <w:textDirection w:val="lrTb"/>
            <w:noWrap w:val="false"/>
          </w:tcPr>
          <w:p>
            <w:pPr>
              <w:ind w:firstLine="0"/>
              <w:spacing w:line="360" w:lineRule="auto"/>
              <w:rPr>
                <w:sz w:val="24"/>
              </w:rPr>
            </w:pPr>
            <w:r>
              <w:rPr>
                <w:sz w:val="24"/>
              </w:rPr>
              <w:t xml:space="preserve">法定代表人</w:t>
            </w: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bottom w:val="single" w:color="000000" w:sz="2" w:space="0"/>
            </w:tcBorders>
            <w:tcW w:w="1906" w:type="dxa"/>
            <w:vAlign w:val="center"/>
            <w:textDirection w:val="lrTb"/>
            <w:noWrap w:val="false"/>
          </w:tcPr>
          <w:p>
            <w:pPr>
              <w:jc w:val="center"/>
              <w:spacing w:line="360" w:lineRule="auto"/>
              <w:rPr>
                <w:sz w:val="24"/>
              </w:rPr>
            </w:pPr>
            <w:r>
              <w:rPr>
                <w:sz w:val="24"/>
              </w:rPr>
            </w:r>
            <w:r/>
          </w:p>
        </w:tc>
      </w:tr>
      <w:tr>
        <w:trPr>
          <w:cantSplit/>
          <w:trHeight w:val="483"/>
        </w:trPr>
        <w:tc>
          <w:tcPr>
            <w:tcBorders>
              <w:bottom w:val="single" w:color="000000" w:sz="2" w:space="0"/>
              <w:right w:val="single" w:color="000000" w:sz="2" w:space="0"/>
            </w:tcBorders>
            <w:tcW w:w="2366" w:type="dxa"/>
            <w:vAlign w:val="center"/>
            <w:vMerge w:val="continue"/>
            <w:textDirection w:val="lrTb"/>
            <w:noWrap w:val="false"/>
          </w:tcPr>
          <w:p>
            <w:pPr>
              <w:jc w:val="center"/>
              <w:spacing w:line="360" w:lineRule="auto"/>
              <w:rPr>
                <w:sz w:val="24"/>
              </w:rPr>
            </w:pPr>
            <w:r>
              <w:rPr>
                <w:sz w:val="24"/>
              </w:rPr>
            </w:r>
            <w:r/>
          </w:p>
        </w:tc>
        <w:tc>
          <w:tcPr>
            <w:tcBorders>
              <w:left w:val="single" w:color="000000" w:sz="2" w:space="0"/>
              <w:bottom w:val="single" w:color="000000" w:sz="2" w:space="0"/>
              <w:right w:val="single" w:color="000000" w:sz="2" w:space="0"/>
            </w:tcBorders>
            <w:tcW w:w="2069" w:type="dxa"/>
            <w:vAlign w:val="center"/>
            <w:vMerge w:val="continue"/>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rFonts w:hint="eastAsia"/>
                <w:sz w:val="24"/>
              </w:rPr>
              <w:t xml:space="preserve">拥有者性别</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366" w:type="dxa"/>
            <w:vAlign w:val="center"/>
            <w:textDirection w:val="lrTb"/>
            <w:noWrap w:val="false"/>
          </w:tcPr>
          <w:p>
            <w:pPr>
              <w:ind w:firstLine="0"/>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069"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366" w:type="dxa"/>
            <w:vAlign w:val="center"/>
            <w:textDirection w:val="lrTb"/>
            <w:noWrap w:val="false"/>
          </w:tcPr>
          <w:p>
            <w:pPr>
              <w:ind w:firstLine="0"/>
              <w:spacing w:line="360" w:lineRule="auto"/>
              <w:rPr>
                <w:sz w:val="24"/>
              </w:rPr>
            </w:pPr>
            <w:r>
              <w:rPr>
                <w:sz w:val="24"/>
              </w:rPr>
              <w:t xml:space="preserve">联 系 人</w:t>
            </w:r>
            <w:r/>
          </w:p>
        </w:tc>
        <w:tc>
          <w:tcPr>
            <w:tcBorders>
              <w:top w:val="single" w:color="000000" w:sz="2" w:space="0"/>
              <w:left w:val="single" w:color="000000" w:sz="2" w:space="0"/>
              <w:bottom w:val="single" w:color="000000" w:sz="2" w:space="0"/>
              <w:right w:val="single" w:color="000000" w:sz="2" w:space="0"/>
            </w:tcBorders>
            <w:tcW w:w="2069"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sz w:val="24"/>
              </w:rPr>
              <w:t xml:space="preserve">联 系 人</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366" w:type="dxa"/>
            <w:vAlign w:val="center"/>
            <w:textDirection w:val="lrTb"/>
            <w:noWrap w:val="false"/>
          </w:tcPr>
          <w:p>
            <w:pPr>
              <w:ind w:firstLine="0"/>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right w:val="single" w:color="000000" w:sz="2" w:space="0"/>
            </w:tcBorders>
            <w:tcW w:w="2069"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366" w:type="dxa"/>
            <w:vAlign w:val="center"/>
            <w:textDirection w:val="lrTb"/>
            <w:noWrap w:val="false"/>
          </w:tcPr>
          <w:p>
            <w:pPr>
              <w:ind w:firstLine="0"/>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069"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366" w:type="dxa"/>
            <w:vAlign w:val="center"/>
            <w:textDirection w:val="lrTb"/>
            <w:noWrap w:val="false"/>
          </w:tcPr>
          <w:p>
            <w:pPr>
              <w:ind w:firstLine="0"/>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right w:val="single" w:color="000000" w:sz="2" w:space="0"/>
            </w:tcBorders>
            <w:tcW w:w="2069"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366" w:type="dxa"/>
            <w:vAlign w:val="center"/>
            <w:textDirection w:val="lrTb"/>
            <w:noWrap w:val="false"/>
          </w:tcPr>
          <w:p>
            <w:pPr>
              <w:ind w:firstLine="0"/>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069"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366" w:type="dxa"/>
            <w:vAlign w:val="center"/>
            <w:textDirection w:val="lrTb"/>
            <w:noWrap w:val="false"/>
          </w:tcPr>
          <w:p>
            <w:pPr>
              <w:ind w:firstLine="0"/>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069"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366"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069"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sz w:val="24"/>
              </w:rPr>
              <w:t xml:space="preserve">开户名称</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366"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069"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sz w:val="24"/>
              </w:rPr>
              <w:t xml:space="preserve">开户银行</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366"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069"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sz w:val="24"/>
              </w:rPr>
              <w:t xml:space="preserve">银行账号</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trHeight w:val="586"/>
        </w:trPr>
        <w:tc>
          <w:tcPr>
            <w:gridSpan w:val="4"/>
            <w:tcBorders>
              <w:top w:val="single" w:color="000000" w:sz="2" w:space="0"/>
            </w:tcBorders>
            <w:tcW w:w="8634" w:type="dxa"/>
            <w:vAlign w:val="center"/>
            <w:textDirection w:val="lrTb"/>
            <w:noWrap w:val="false"/>
          </w:tcPr>
          <w:p>
            <w:pPr>
              <w:ind w:firstLine="0"/>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ind w:firstLine="0"/>
        <w:jc w:val="center"/>
        <w:keepLines/>
        <w:keepNext/>
        <w:spacing w:line="400" w:lineRule="exact"/>
        <w:widowControl w:val="off"/>
        <w:rPr>
          <w:rFonts w:hint="eastAsia" w:ascii="黑体" w:hAnsi="黑体" w:eastAsia="黑体"/>
          <w:sz w:val="32"/>
          <w:szCs w:val="32"/>
        </w:rPr>
        <w:outlineLvl w:val="1"/>
      </w:pPr>
      <w:r>
        <w:br w:type="page" w:clear="all"/>
      </w:r>
      <w:bookmarkStart w:id="173" w:name="_Toc27624"/>
      <w:r/>
      <w:bookmarkStart w:id="174" w:name="_Toc20313"/>
      <w:r>
        <w:rPr>
          <w:rFonts w:hint="eastAsia" w:ascii="黑体" w:hAnsi="黑体" w:eastAsia="黑体"/>
          <w:sz w:val="32"/>
          <w:szCs w:val="32"/>
        </w:rPr>
        <w:t xml:space="preserve">第二节 政府采购合同通用条款</w:t>
      </w:r>
      <w:bookmarkEnd w:id="173"/>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14:textFill>
            <w14:solidFill>
              <w14:schemeClr w14:val="tx1"/>
            </w14:solidFill>
          </w14:textFill>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14:textFill>
            <w14:solidFill>
              <w14:schemeClr w14:val="tx1"/>
            </w14:solidFill>
          </w14:textFill>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themeColor="text1"/>
          <w:szCs w:val="21"/>
          <w14:textFill>
            <w14:solidFill>
              <w14:schemeClr w14:val="tx1"/>
            </w14:solidFill>
          </w14:textFill>
        </w:rPr>
        <w:t xml:space="preserve">包括软件）及相关的备品备件、工具、手册及</w:t>
      </w:r>
      <w:r>
        <w:rPr>
          <w:rFonts w:hint="eastAsia"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技术资料和材料等。</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hint="eastAsia" w:ascii="宋体" w:hAnsi="宋体"/>
          <w:szCs w:val="21"/>
        </w:rPr>
        <w:t xml:space="preserve">相关</w:t>
      </w:r>
      <w:r>
        <w:rPr>
          <w:rFonts w:hint="eastAsia" w:ascii="宋体" w:hAnsi="宋体"/>
          <w:color w:val="000000" w:themeColor="text1"/>
          <w:szCs w:val="21"/>
          <w14:textFill>
            <w14:solidFill>
              <w14:schemeClr w14:val="tx1"/>
            </w14:solidFill>
          </w14:textFill>
        </w:rPr>
        <w:t xml:space="preserve">服务”系指根据合同规定，乙方应提供的与货物有关的技术、管理和</w:t>
      </w:r>
      <w:r>
        <w:rPr>
          <w:rFonts w:hint="eastAsia"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hint="eastAsia"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义务。</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themeColor="text1"/>
          <w:szCs w:val="21"/>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（7）其他术语解释，见【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numPr>
          <w:ilvl w:val="0"/>
          <w:numId w:val="4"/>
        </w:num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合同标的及金额</w:t>
      </w:r>
      <w:r/>
    </w:p>
    <w:p>
      <w:pPr>
        <w:ind w:firstLine="420"/>
        <w:jc w:val="left"/>
        <w:spacing w:line="400" w:lineRule="exact"/>
        <w:rPr>
          <w:rFonts w:hint="eastAsia" w:ascii="宋体" w:hAnsi="宋体"/>
          <w:b/>
          <w:bCs/>
          <w:i/>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w:t>
      </w:r>
      <w:r>
        <w:rPr>
          <w:rFonts w:hint="eastAsia"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任何费用。</w:t>
      </w:r>
      <w:r/>
    </w:p>
    <w:p>
      <w:pPr>
        <w:jc w:val="left"/>
        <w:spacing w:line="40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3. 履行合同的时间、地点和方式</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4. 甲方的权利和义务</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4.3 甲方有权要求乙方对缺陷部分予以修复，并按合同约定享有货物保修及其他合同约定的权利。</w:t>
      </w:r>
      <w:r/>
    </w:p>
    <w:p>
      <w:pPr>
        <w:ind w:firstLine="420"/>
        <w:spacing w:line="400" w:lineRule="exact"/>
        <w:rPr>
          <w:rFonts w:eastAsia="华文楷体"/>
        </w:rPr>
      </w:pPr>
      <w:r>
        <w:rPr>
          <w:rFonts w:hint="eastAsia" w:ascii="宋体" w:hAnsi="宋体"/>
          <w:color w:val="000000" w:themeColor="text1"/>
          <w:szCs w:val="21"/>
          <w14:textFill>
            <w14:solidFill>
              <w14:schemeClr w14:val="tx1"/>
            </w14:solidFill>
          </w14:textFill>
        </w:rPr>
        <w:t xml:space="preserve">4.4 甲方应当按照合同约定及时对交付的货物进行验收，</w:t>
      </w:r>
      <w:r>
        <w:rPr>
          <w:rFonts w:hint="eastAsia" w:ascii="宋体" w:hAnsi="宋体" w:cs="宋体"/>
          <w:szCs w:val="21"/>
        </w:rPr>
        <w:t xml:space="preserve">未</w:t>
      </w:r>
      <w:r>
        <w:rPr>
          <w:rFonts w:hint="eastAsia" w:ascii="宋体" w:hAnsi="宋体"/>
          <w:color w:val="000000" w:themeColor="text1"/>
          <w:szCs w:val="21"/>
          <w14:textFill>
            <w14:solidFill>
              <w14:schemeClr w14:val="tx1"/>
            </w14:solidFill>
          </w14:textFill>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themeColor="text1"/>
          <w:szCs w:val="21"/>
          <w14:textFill>
            <w14:solidFill>
              <w14:schemeClr w14:val="tx1"/>
            </w14:solidFill>
          </w14:textFill>
        </w:rPr>
        <w:t xml:space="preserve">视为验收通过。</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约定应由甲方承担的其他义务和责任。</w:t>
      </w:r>
      <w:r/>
    </w:p>
    <w:p>
      <w:p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5. 乙方的权利和义务</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5.1 签署合同后，乙方应确定项目负责人（或项目联系人），负责与本合同有关的事务。</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662"/>
        <w:ind w:firstLine="369"/>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5.3乙方有权</w:t>
      </w:r>
      <w:r>
        <w:rPr>
          <w:rFonts w:hint="eastAsia" w:ascii="宋体" w:hAnsi="宋体" w:cs="宋体"/>
          <w:color w:val="000000" w:themeColor="text1"/>
          <w:szCs w:val="21"/>
          <w14:textFill>
            <w14:solidFill>
              <w14:schemeClr w14:val="tx1"/>
            </w14:solidFill>
          </w14:textFill>
        </w:rPr>
        <w:t xml:space="preserve">根据合同约定向甲方收取合同价款。</w:t>
      </w:r>
      <w:r/>
    </w:p>
    <w:p>
      <w:pPr>
        <w:pStyle w:val="662"/>
        <w:ind w:firstLine="369"/>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5.4</w:t>
      </w:r>
      <w:r>
        <w:rPr>
          <w:rFonts w:hint="eastAsia" w:ascii="宋体" w:hAnsi="宋体" w:cs="宋体"/>
          <w:color w:val="000000" w:themeColor="text1"/>
          <w:szCs w:val="21"/>
          <w14:textFill>
            <w14:solidFill>
              <w14:schemeClr w14:val="tx1"/>
            </w14:solidFill>
          </w14:textFill>
        </w:rPr>
        <w:t xml:space="preserve">国家法律法规规定</w:t>
      </w:r>
      <w:r>
        <w:rPr>
          <w:rFonts w:hint="eastAsia" w:ascii="宋体" w:hAnsi="宋体"/>
          <w:color w:val="000000" w:themeColor="text1"/>
          <w:szCs w:val="21"/>
          <w14:textFill>
            <w14:solidFill>
              <w14:schemeClr w14:val="tx1"/>
            </w14:solidFill>
          </w14:textFill>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themeColor="text1"/>
          <w:szCs w:val="21"/>
          <w14:textFill>
            <w14:solidFill>
              <w14:schemeClr w14:val="tx1"/>
            </w14:solidFill>
          </w14:textFill>
        </w:rPr>
        <w:t xml:space="preserve">由乙方承担的其他义务和责任。</w:t>
      </w:r>
      <w:r/>
    </w:p>
    <w:p>
      <w:pPr>
        <w:numPr>
          <w:ilvl w:val="0"/>
          <w:numId w:val="5"/>
        </w:num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合同履行</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约定顺序履行合同义务；如果没有先后顺序的，应当同时履行。</w:t>
      </w:r>
      <w:r/>
    </w:p>
    <w:p>
      <w:pPr>
        <w:ind w:firstLine="420"/>
        <w:jc w:val="left"/>
        <w:spacing w:line="400" w:lineRule="exact"/>
      </w:pPr>
      <w:r>
        <w:rPr>
          <w:rFonts w:hint="eastAsia" w:ascii="宋体" w:hAnsi="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7. 货物包装、运输、保险和交付要求</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7.1 本合同</w:t>
      </w:r>
      <w:r>
        <w:rPr>
          <w:rFonts w:hint="eastAsia" w:ascii="宋体" w:hAnsi="宋体"/>
          <w:bCs/>
          <w:color w:val="000000" w:themeColor="text1"/>
          <w:szCs w:val="21"/>
          <w14:textFill>
            <w14:solidFill>
              <w14:schemeClr w14:val="tx1"/>
            </w14:solidFill>
          </w14:textFill>
        </w:rPr>
        <w:t xml:space="preserve">涉及商品包装、快递包装的，</w:t>
      </w:r>
      <w:r>
        <w:rPr>
          <w:rFonts w:hint="eastAsia" w:ascii="宋体" w:hAnsi="宋体"/>
          <w:color w:val="000000" w:themeColor="text1"/>
          <w:szCs w:val="21"/>
          <w14:textFill>
            <w14:solidFill>
              <w14:schemeClr w14:val="tx1"/>
            </w14:solidFill>
          </w14:textFill>
        </w:rPr>
        <w:t xml:space="preserve">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约定的</w:t>
      </w:r>
      <w:r>
        <w:rPr>
          <w:rFonts w:hint="eastAsia" w:ascii="宋体" w:hAnsi="宋体"/>
          <w:color w:val="000000" w:themeColor="text1"/>
          <w:szCs w:val="21"/>
          <w14:textFill>
            <w14:solidFill>
              <w14:schemeClr w14:val="tx1"/>
            </w14:solidFill>
          </w14:textFill>
        </w:rPr>
        <w:t xml:space="preserve">指定现场。</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7.2 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7.3 货物保险要求按</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规定执行</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859"/>
        <w:ind w:firstLine="420"/>
        <w:rPr>
          <w:rFonts w:hint="eastAsia"/>
          <w:sz w:val="21"/>
        </w:rPr>
      </w:pPr>
      <w:r>
        <w:rPr>
          <w:rFonts w:hint="eastAsia" w:ascii="宋体" w:hAnsi="宋体" w:eastAsia="宋体" w:cs="Times New Roman"/>
          <w:color w:val="000000" w:themeColor="text1"/>
          <w:sz w:val="21"/>
          <w14:textFill>
            <w14:solidFill>
              <w14:schemeClr w14:val="tx1"/>
            </w14:solidFill>
          </w14:textFill>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themeColor="text1"/>
          <w:sz w:val="21"/>
          <w14:textFill>
            <w14:solidFill>
              <w14:schemeClr w14:val="tx1"/>
            </w14:solidFill>
          </w14:textFill>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color w:val="000000" w:themeColor="text1"/>
          <w:sz w:val="24"/>
          <w14:textFill>
            <w14:solidFill>
              <w14:schemeClr w14:val="tx1"/>
            </w14:solidFill>
          </w14:textFill>
        </w:rPr>
        <w:t xml:space="preserve">8. </w:t>
      </w:r>
      <w:r>
        <w:rPr>
          <w:rFonts w:hint="eastAsia" w:ascii="宋体" w:hAnsi="宋体"/>
          <w:b/>
          <w:sz w:val="24"/>
        </w:rPr>
        <w:t xml:space="preserve">质量标准和保证</w:t>
      </w:r>
      <w:r/>
    </w:p>
    <w:p>
      <w:pPr>
        <w:pStyle w:val="666"/>
        <w:ind w:firstLine="42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666"/>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14:textFill>
            <w14:solidFill>
              <w14:schemeClr w14:val="tx1"/>
            </w14:solidFill>
          </w14:textFill>
        </w:rPr>
        <w:t xml:space="preserve">5</w:t>
      </w:r>
      <w:r>
        <w:rPr>
          <w:rFonts w:hint="eastAsia" w:ascii="宋体" w:hAnsi="宋体"/>
          <w:szCs w:val="21"/>
        </w:rPr>
        <w:t xml:space="preserve">.1条规定以书面形式</w:t>
      </w:r>
      <w:r>
        <w:rPr>
          <w:rFonts w:hint="eastAsia" w:ascii="宋体" w:hAnsi="宋体"/>
          <w:color w:val="000000" w:themeColor="text1"/>
          <w:szCs w:val="21"/>
          <w14:textFill>
            <w14:solidFill>
              <w14:schemeClr w14:val="tx1"/>
            </w14:solidFill>
          </w14:textFill>
        </w:rPr>
        <w:t xml:space="preserve">追究</w:t>
      </w:r>
      <w:r>
        <w:rPr>
          <w:rFonts w:hint="eastAsia" w:ascii="宋体" w:hAnsi="宋体"/>
          <w:szCs w:val="21"/>
        </w:rPr>
        <w:t xml:space="preserve">乙方</w:t>
      </w:r>
      <w:r>
        <w:rPr>
          <w:rFonts w:hint="eastAsia" w:ascii="宋体" w:hAnsi="宋体"/>
          <w:color w:val="000000" w:themeColor="text1"/>
          <w:szCs w:val="21"/>
          <w14:textFill>
            <w14:solidFill>
              <w14:schemeClr w14:val="tx1"/>
            </w14:solidFill>
          </w14:textFill>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color w:val="000000" w:themeColor="text1"/>
          <w:sz w:val="24"/>
          <w14:textFill>
            <w14:solidFill>
              <w14:schemeClr w14:val="tx1"/>
            </w14:solidFill>
          </w14:textFill>
        </w:rPr>
        <w:t xml:space="preserve">9</w:t>
      </w:r>
      <w:r>
        <w:rPr>
          <w:rFonts w:hint="eastAsia" w:ascii="宋体" w:hAnsi="宋体"/>
          <w:b/>
          <w:bCs/>
          <w:sz w:val="24"/>
        </w:rPr>
        <w:t xml:space="preserve">.</w:t>
      </w:r>
      <w:r>
        <w:rPr>
          <w:rFonts w:hint="eastAsia" w:ascii="宋体" w:hAnsi="宋体"/>
          <w:b/>
          <w:bCs/>
          <w:color w:val="000000" w:themeColor="text1"/>
          <w:sz w:val="24"/>
          <w14:textFill>
            <w14:solidFill>
              <w14:schemeClr w14:val="tx1"/>
            </w14:solidFill>
          </w14:textFill>
        </w:rPr>
        <w:t xml:space="preserve"> </w:t>
      </w:r>
      <w:r>
        <w:rPr>
          <w:rFonts w:hint="eastAsia" w:ascii="宋体" w:hAnsi="宋体"/>
          <w:b/>
          <w:bCs/>
          <w:sz w:val="24"/>
        </w:rPr>
        <w:t xml:space="preserve">权利瑕疵担保</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9.1 乙方保证对其出售的货物享有合法的权利。</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9.3 如甲方使用上述货物构成对第三人侵权的，则由乙方承担全部责任。</w:t>
      </w:r>
      <w:r/>
    </w:p>
    <w:p>
      <w:p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10. 知识产权保护</w:t>
      </w:r>
      <w:r/>
    </w:p>
    <w:p>
      <w:pPr>
        <w:ind w:firstLine="420"/>
        <w:jc w:val="left"/>
        <w:spacing w:line="400" w:lineRule="exact"/>
        <w:rPr>
          <w:rFonts w:hint="eastAsia" w:ascii="宋体" w:hAnsi="宋体"/>
          <w:szCs w:val="21"/>
        </w:rPr>
      </w:pPr>
      <w:r>
        <w:rPr>
          <w:rFonts w:hint="eastAsia" w:ascii="宋体" w:hAnsi="宋体"/>
          <w:color w:val="000000" w:themeColor="text1"/>
          <w:szCs w:val="21"/>
          <w14:textFill>
            <w14:solidFill>
              <w14:schemeClr w14:val="tx1"/>
            </w14:solidFill>
          </w14:textFill>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175"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75"/>
      <w:r>
        <w:rPr>
          <w:rFonts w:hint="eastAsia" w:ascii="宋体" w:hAnsi="宋体"/>
          <w:szCs w:val="21"/>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cs="宋体"/>
          <w:szCs w:val="15"/>
        </w:rPr>
      </w:pPr>
      <w:r>
        <w:rPr>
          <w:rFonts w:hint="eastAsia" w:ascii="宋体" w:hAnsi="宋体" w:cs="宋体"/>
          <w:szCs w:val="15"/>
        </w:rPr>
        <w:t xml:space="preserve">1.合同款项的支付方式及进度安排：</w:t>
      </w:r>
      <w:r/>
    </w:p>
    <w:p>
      <w:pPr>
        <w:ind w:firstLine="420"/>
        <w:jc w:val="left"/>
        <w:spacing w:line="400" w:lineRule="exact"/>
        <w:rPr>
          <w:rFonts w:hint="eastAsia" w:ascii="宋体" w:hAnsi="宋体" w:cs="宋体"/>
          <w:szCs w:val="15"/>
        </w:rPr>
      </w:pPr>
      <w:r>
        <w:rPr>
          <w:rFonts w:hint="eastAsia" w:ascii="宋体" w:hAnsi="宋体" w:cs="宋体"/>
          <w:szCs w:val="15"/>
        </w:rPr>
        <w:t xml:space="preserve">①自合同签订生效之日起，</w:t>
      </w:r>
      <w:r>
        <w:rPr>
          <w:rFonts w:hint="eastAsia" w:ascii="Segoe UI" w:hAnsi="Segoe UI" w:eastAsia="Segoe UI" w:cs="Segoe UI"/>
          <w:color w:val="0f1115"/>
          <w:sz w:val="24"/>
          <w:shd w:val="clear" w:color="auto" w:fill="ffffff"/>
        </w:rPr>
        <w:t xml:space="preserve">待财政资金到账，</w:t>
      </w:r>
      <w:r>
        <w:rPr>
          <w:rFonts w:hint="eastAsia" w:ascii="宋体" w:hAnsi="宋体" w:cs="宋体"/>
          <w:szCs w:val="15"/>
        </w:rPr>
        <w:t xml:space="preserve">收到乙方发票10个工作日内，甲方向乙方支付合同总价的30%款项作为预付款；</w:t>
      </w:r>
      <w:r/>
    </w:p>
    <w:p>
      <w:pPr>
        <w:ind w:firstLine="420"/>
        <w:jc w:val="left"/>
        <w:spacing w:line="400" w:lineRule="exact"/>
        <w:rPr>
          <w:rFonts w:hint="eastAsia" w:ascii="宋体" w:hAnsi="宋体" w:cs="宋体"/>
          <w:szCs w:val="15"/>
        </w:rPr>
      </w:pPr>
      <w:r>
        <w:rPr>
          <w:rFonts w:hint="eastAsia" w:ascii="宋体" w:hAnsi="宋体" w:cs="宋体"/>
          <w:szCs w:val="15"/>
        </w:rPr>
        <w:t xml:space="preserve">②设备安装调试完毕并经文物主管部门验收合格，待财政资金到账，收到乙方发票10个工作日内甲方向乙方支付至合同价的100%。</w:t>
      </w:r>
      <w:r/>
    </w:p>
    <w:p>
      <w:pPr>
        <w:ind w:firstLine="420"/>
        <w:jc w:val="left"/>
        <w:spacing w:line="400" w:lineRule="exact"/>
        <w:rPr>
          <w:rFonts w:hint="eastAsia" w:ascii="宋体" w:hAnsi="宋体" w:cs="宋体"/>
          <w:szCs w:val="15"/>
        </w:rPr>
      </w:pPr>
      <w:r>
        <w:rPr>
          <w:rFonts w:hint="eastAsia" w:ascii="宋体" w:hAnsi="宋体" w:cs="宋体"/>
          <w:szCs w:val="15"/>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ind w:firstLine="420"/>
        <w:jc w:val="left"/>
        <w:spacing w:line="400" w:lineRule="exact"/>
        <w:rPr>
          <w:rFonts w:hint="eastAsia" w:ascii="宋体" w:hAnsi="宋体" w:cs="宋体"/>
          <w:szCs w:val="15"/>
        </w:rPr>
      </w:pPr>
      <w:r>
        <w:rPr>
          <w:rFonts w:hint="eastAsia" w:ascii="宋体" w:hAnsi="宋体" w:cs="宋体"/>
          <w:szCs w:val="15"/>
        </w:rPr>
        <w:t xml:space="preserve">(1) 发票；</w:t>
      </w:r>
      <w:r/>
    </w:p>
    <w:p>
      <w:pPr>
        <w:ind w:firstLine="420"/>
        <w:jc w:val="left"/>
        <w:spacing w:line="400" w:lineRule="exact"/>
        <w:rPr>
          <w:rFonts w:hint="eastAsia" w:ascii="宋体" w:hAnsi="宋体" w:cs="宋体"/>
          <w:szCs w:val="15"/>
        </w:rPr>
      </w:pPr>
      <w:r>
        <w:rPr>
          <w:rFonts w:hint="eastAsia" w:ascii="宋体" w:hAnsi="宋体" w:cs="宋体"/>
          <w:szCs w:val="15"/>
        </w:rPr>
        <w:t xml:space="preserve">(2) 制造厂家出具的质量检验证书等；</w:t>
      </w:r>
      <w:r/>
    </w:p>
    <w:p>
      <w:pPr>
        <w:ind w:firstLine="420"/>
        <w:jc w:val="left"/>
        <w:spacing w:line="400" w:lineRule="exact"/>
        <w:rPr>
          <w:rFonts w:hint="eastAsia" w:ascii="宋体" w:hAnsi="宋体" w:cs="宋体"/>
          <w:szCs w:val="15"/>
        </w:rPr>
      </w:pPr>
      <w:r>
        <w:rPr>
          <w:rFonts w:hint="eastAsia" w:ascii="宋体" w:hAnsi="宋体" w:cs="宋体"/>
          <w:szCs w:val="15"/>
        </w:rPr>
        <w:t xml:space="preserve">(3) 装箱单；</w:t>
      </w:r>
      <w:r/>
    </w:p>
    <w:p>
      <w:pPr>
        <w:ind w:firstLine="420"/>
        <w:jc w:val="left"/>
        <w:spacing w:line="400" w:lineRule="exact"/>
        <w:rPr>
          <w:rFonts w:hint="eastAsia" w:ascii="宋体" w:hAnsi="宋体" w:cs="宋体"/>
          <w:szCs w:val="15"/>
        </w:rPr>
      </w:pPr>
      <w:r>
        <w:rPr>
          <w:rFonts w:hint="eastAsia" w:ascii="宋体" w:hAnsi="宋体" w:cs="宋体"/>
          <w:szCs w:val="15"/>
        </w:rPr>
        <w:t xml:space="preserve">(4) 甲方加盖公章证明交付使用合格的验收单。</w:t>
      </w:r>
      <w:r/>
    </w:p>
    <w:p>
      <w:pPr>
        <w:pStyle w:val="662"/>
        <w:spacing w:after="0" w:line="400" w:lineRule="exact"/>
        <w:rPr>
          <w:rFonts w:hint="eastAsia" w:ascii="宋体" w:hAnsi="宋体"/>
          <w:b/>
          <w:bCs/>
          <w:sz w:val="24"/>
          <w:szCs w:val="24"/>
        </w:rPr>
      </w:pPr>
      <w:r>
        <w:rPr>
          <w:rFonts w:hint="eastAsia" w:ascii="宋体" w:hAnsi="宋体"/>
          <w:b/>
          <w:bCs/>
          <w:sz w:val="24"/>
          <w:szCs w:val="24"/>
        </w:rPr>
        <w:t xml:space="preserve">13. 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859"/>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6"/>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59"/>
        <w:ind w:firstLine="420"/>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859"/>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859"/>
        <w:ind w:firstLine="420"/>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859"/>
        <w:ind w:firstLine="420"/>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59"/>
        <w:ind w:firstLine="420"/>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59"/>
        <w:ind w:firstLine="420"/>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662"/>
        <w:ind w:firstLine="420"/>
        <w:spacing w:after="0" w:line="400" w:lineRule="exact"/>
      </w:pPr>
      <w:r>
        <w:rPr>
          <w:rFonts w:hint="eastAsia" w:ascii="宋体" w:hAnsi="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859"/>
        <w:ind w:firstLine="420"/>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859"/>
        <w:ind w:firstLine="420"/>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rPr>
      </w:pPr>
      <w:r>
        <w:rPr>
          <w:rFonts w:hint="eastAsia" w:ascii="宋体" w:hAnsi="宋体"/>
          <w:b/>
          <w:sz w:val="24"/>
        </w:rPr>
        <w:t xml:space="preserve">22. 通知</w:t>
      </w:r>
      <w:r/>
    </w:p>
    <w:p>
      <w:pPr>
        <w:pStyle w:val="859"/>
        <w:ind w:firstLine="420"/>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859"/>
        <w:ind w:firstLine="0"/>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jc w:val="left"/>
        <w:spacing w:line="400" w:lineRule="exact"/>
        <w:rPr>
          <w:rFonts w:hint="eastAsia" w:ascii="宋体" w:hAnsi="宋体"/>
          <w:b/>
          <w:sz w:val="24"/>
        </w:rPr>
      </w:pPr>
      <w:r>
        <w:rPr>
          <w:rFonts w:hint="eastAsia" w:ascii="宋体" w:hAnsi="宋体"/>
          <w:b/>
          <w:sz w:val="24"/>
        </w:rPr>
        <w:t xml:space="preserve">23.合同未尽事项</w:t>
      </w:r>
      <w:r/>
    </w:p>
    <w:p>
      <w:pPr>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23.2 合同附件与合同正文具有同等的法律效力。</w:t>
      </w:r>
      <w:r/>
    </w:p>
    <w:p>
      <w:pPr>
        <w:ind w:firstLine="420"/>
        <w:spacing w:line="400" w:lineRule="exact"/>
        <w:rPr>
          <w:rFonts w:hint="eastAsia" w:ascii="黑体" w:hAnsi="华文中宋" w:eastAsia="黑体"/>
          <w:sz w:val="28"/>
          <w:szCs w:val="28"/>
        </w:rPr>
      </w:pPr>
      <w:r>
        <w:rPr>
          <w:rFonts w:hint="eastAsia" w:ascii="黑体" w:hAnsi="华文中宋" w:eastAsia="黑体"/>
          <w:sz w:val="28"/>
          <w:szCs w:val="28"/>
        </w:rPr>
      </w:r>
      <w:r/>
    </w:p>
    <w:p>
      <w:r>
        <w:rPr>
          <w:rFonts w:hint="eastAsia"/>
        </w:rPr>
        <w:br w:type="page" w:clear="all"/>
      </w:r>
      <w:r/>
    </w:p>
    <w:p>
      <w:pPr>
        <w:ind w:firstLine="0"/>
        <w:jc w:val="center"/>
        <w:keepLines/>
        <w:keepNext/>
        <w:spacing w:line="360" w:lineRule="auto"/>
        <w:widowControl w:val="off"/>
        <w:rPr>
          <w:rFonts w:hint="eastAsia" w:ascii="黑体" w:hAnsi="华文中宋" w:eastAsia="黑体"/>
          <w:sz w:val="32"/>
          <w:szCs w:val="32"/>
        </w:rPr>
        <w:outlineLvl w:val="1"/>
      </w:pPr>
      <w:r>
        <w:rPr>
          <w:rFonts w:hint="eastAsia" w:ascii="黑体" w:hAnsi="华文中宋" w:eastAsia="黑体"/>
          <w:sz w:val="32"/>
          <w:szCs w:val="32"/>
        </w:rPr>
        <w:t xml:space="preserve">第三节 政府采购合同专用条款</w:t>
      </w:r>
      <w:bookmarkEnd w:id="174"/>
      <w:r/>
      <w:r/>
    </w:p>
    <w:tbl>
      <w:tblPr>
        <w:tblStyle w:val="658"/>
        <w:tblW w:w="4996" w:type="pct"/>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821"/>
        <w:gridCol w:w="1558"/>
        <w:gridCol w:w="5902"/>
      </w:tblGrid>
      <w:tr>
        <w:trPr>
          <w:trHeight w:val="736"/>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第1.2（6）项</w:t>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联合体具体要求</w:t>
            </w:r>
            <w:r/>
          </w:p>
        </w:tc>
        <w:tc>
          <w:tcPr>
            <w:tcW w:w="317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不接受联合体。</w:t>
            </w:r>
            <w:r/>
          </w:p>
        </w:tc>
      </w:tr>
      <w:tr>
        <w:trPr>
          <w:trHeight w:val="604"/>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第1.2（7）项</w:t>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其他术语解释</w:t>
            </w:r>
            <w:r/>
          </w:p>
        </w:tc>
        <w:tc>
          <w:tcPr>
            <w:tcW w:w="317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r>
            <w:r/>
          </w:p>
        </w:tc>
      </w:tr>
      <w:tr>
        <w:trPr>
          <w:trHeight w:val="736"/>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第4.4款</w:t>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履约验收中甲方提出异议或作出说明的期限</w:t>
            </w:r>
            <w:r/>
          </w:p>
        </w:tc>
        <w:tc>
          <w:tcPr>
            <w:tcW w:w="317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r>
            <w:r/>
          </w:p>
        </w:tc>
      </w:tr>
      <w:tr>
        <w:trPr>
          <w:trHeight w:val="736"/>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第4.6款</w:t>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约定甲方承担的其他义务和责任</w:t>
            </w:r>
            <w:r/>
          </w:p>
        </w:tc>
        <w:tc>
          <w:tcPr>
            <w:tcW w:w="317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r>
            <w:r/>
          </w:p>
        </w:tc>
      </w:tr>
      <w:tr>
        <w:trPr>
          <w:trHeight w:val="736"/>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sz w:val="24"/>
              </w:rPr>
            </w:pPr>
            <w:r>
              <w:rPr>
                <w:rFonts w:hint="eastAsia" w:ascii="宋体" w:hAnsi="宋体"/>
                <w:sz w:val="24"/>
              </w:rPr>
              <w:t xml:space="preserve">第5.4款</w:t>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约定乙方承担的其他义务和责任</w:t>
            </w:r>
            <w:r/>
          </w:p>
        </w:tc>
        <w:tc>
          <w:tcPr>
            <w:tcW w:w="317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r>
            <w:r/>
          </w:p>
        </w:tc>
      </w:tr>
      <w:tr>
        <w:trPr>
          <w:trHeight w:val="736"/>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第6.1款</w:t>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履行合同义务的顺序</w:t>
            </w:r>
            <w:r/>
          </w:p>
        </w:tc>
        <w:tc>
          <w:tcPr>
            <w:tcW w:w="317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r>
            <w:r/>
          </w:p>
        </w:tc>
      </w:tr>
      <w:tr>
        <w:trPr>
          <w:cantSplit/>
          <w:trHeight w:val="667"/>
        </w:trPr>
        <w:tc>
          <w:tcPr>
            <w:tcW w:w="981" w:type="pct"/>
            <w:vAlign w:val="center"/>
            <w:vMerge w:val="restart"/>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第7.1款</w:t>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包装特殊要求</w:t>
            </w:r>
            <w:r/>
          </w:p>
        </w:tc>
        <w:tc>
          <w:tcPr>
            <w:tcW w:w="3179" w:type="pct"/>
            <w:vAlign w:val="center"/>
            <w:textDirection w:val="lrTb"/>
            <w:noWrap w:val="false"/>
          </w:tcPr>
          <w:p>
            <w:pPr>
              <w:ind w:firstLine="0"/>
              <w:spacing w:line="300" w:lineRule="exact"/>
              <w:rPr>
                <w:sz w:val="24"/>
              </w:rPr>
            </w:pPr>
            <w:r>
              <w:rPr>
                <w:rFonts w:hint="eastAsia"/>
                <w:sz w:val="24"/>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ind w:firstLine="0"/>
              <w:spacing w:line="300" w:lineRule="exact"/>
              <w:rPr>
                <w:sz w:val="24"/>
              </w:rPr>
            </w:pPr>
            <w:r>
              <w:rPr>
                <w:rFonts w:hint="eastAsia"/>
                <w:sz w:val="24"/>
              </w:rPr>
              <w:t xml:space="preserve">1.商品包装层数不得超过3 层，空隙率不大于40%；</w:t>
            </w:r>
            <w:r/>
          </w:p>
          <w:p>
            <w:pPr>
              <w:ind w:firstLine="0"/>
              <w:spacing w:line="300" w:lineRule="exact"/>
              <w:rPr>
                <w:sz w:val="24"/>
              </w:rPr>
            </w:pPr>
            <w:r>
              <w:rPr>
                <w:rFonts w:hint="eastAsia"/>
                <w:sz w:val="24"/>
              </w:rPr>
              <w:t xml:space="preserve">2.商品包装尽可能使用单一材质的包装材料，如因功能需求必需使用不同材质，不同材质间应便于分离；</w:t>
            </w:r>
            <w:r/>
          </w:p>
          <w:p>
            <w:pPr>
              <w:ind w:firstLine="0"/>
              <w:spacing w:line="300" w:lineRule="exact"/>
              <w:rPr>
                <w:sz w:val="24"/>
              </w:rPr>
            </w:pPr>
            <w:r>
              <w:rPr>
                <w:rFonts w:hint="eastAsia"/>
                <w:sz w:val="24"/>
              </w:rPr>
              <w:t xml:space="preserve">3.商品包装中铅、汞、镉、六价铬的总含量应不大于100mg/kg；</w:t>
            </w:r>
            <w:r/>
          </w:p>
          <w:p>
            <w:pPr>
              <w:ind w:firstLine="0"/>
              <w:spacing w:line="300" w:lineRule="exact"/>
              <w:rPr>
                <w:sz w:val="24"/>
              </w:rPr>
            </w:pPr>
            <w:r>
              <w:rPr>
                <w:rFonts w:hint="eastAsia"/>
                <w:sz w:val="24"/>
              </w:rPr>
              <w:t xml:space="preserve">4.商品包装印刷使用的油墨中挥发性有机化合物(VOCs)含量应不大于 5%（以重量计）；</w:t>
            </w:r>
            <w:r/>
          </w:p>
          <w:p>
            <w:pPr>
              <w:ind w:firstLine="0"/>
              <w:spacing w:line="300" w:lineRule="exact"/>
              <w:rPr>
                <w:sz w:val="24"/>
              </w:rPr>
            </w:pPr>
            <w:r>
              <w:rPr>
                <w:rFonts w:hint="eastAsia"/>
                <w:sz w:val="24"/>
              </w:rPr>
              <w:t xml:space="preserve">5.塑料材质商品包装上呈现的印刷颜色不得超过6色；</w:t>
            </w:r>
            <w:r/>
          </w:p>
          <w:p>
            <w:pPr>
              <w:ind w:firstLine="0"/>
              <w:spacing w:line="300" w:lineRule="exact"/>
              <w:rPr>
                <w:sz w:val="24"/>
              </w:rPr>
            </w:pPr>
            <w:r>
              <w:rPr>
                <w:rFonts w:hint="eastAsia"/>
                <w:sz w:val="24"/>
              </w:rPr>
              <w:t xml:space="preserve">6.纸质商品包装应使用75%以上的可再生纤维原料生产；</w:t>
            </w:r>
            <w:r/>
          </w:p>
          <w:p>
            <w:pPr>
              <w:ind w:firstLine="0"/>
              <w:spacing w:line="300" w:lineRule="exact"/>
              <w:rPr>
                <w:sz w:val="24"/>
              </w:rPr>
            </w:pPr>
            <w:r>
              <w:rPr>
                <w:rFonts w:hint="eastAsia"/>
                <w:sz w:val="24"/>
              </w:rPr>
              <w:t xml:space="preserve">7.木质商品包装的原料应来源于可持续性森林。</w:t>
            </w:r>
            <w:r/>
          </w:p>
          <w:p>
            <w:pPr>
              <w:ind w:firstLine="0"/>
              <w:spacing w:line="300" w:lineRule="exact"/>
              <w:rPr>
                <w:sz w:val="24"/>
              </w:rPr>
            </w:pPr>
            <w:r>
              <w:rPr>
                <w:rFonts w:hint="eastAsia"/>
                <w:sz w:val="24"/>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ind w:firstLine="0"/>
              <w:spacing w:line="300" w:lineRule="exact"/>
              <w:rPr>
                <w:sz w:val="24"/>
              </w:rPr>
            </w:pPr>
            <w:r>
              <w:rPr>
                <w:rFonts w:hint="eastAsia"/>
                <w:sz w:val="24"/>
              </w:rPr>
              <w:t xml:space="preserve">9每件包装箱内应附一份详细装箱单和质量合格凭证。</w:t>
            </w:r>
            <w:r/>
          </w:p>
        </w:tc>
      </w:tr>
      <w:tr>
        <w:trPr>
          <w:cantSplit/>
          <w:trHeight w:val="667"/>
        </w:trPr>
        <w:tc>
          <w:tcPr>
            <w:tcW w:w="981" w:type="pct"/>
            <w:vAlign w:val="center"/>
            <w:vMerge w:val="continue"/>
            <w:textDirection w:val="lrTb"/>
            <w:noWrap w:val="false"/>
          </w:tcPr>
          <w:p>
            <w:pPr>
              <w:ind w:firstLine="0"/>
              <w:jc w:val="center"/>
              <w:spacing w:line="300" w:lineRule="exact"/>
              <w:rPr>
                <w:rFonts w:hint="eastAsia" w:ascii="宋体" w:hAnsi="宋体"/>
                <w:sz w:val="24"/>
              </w:rPr>
            </w:pPr>
            <w:r>
              <w:rPr>
                <w:rFonts w:hint="eastAsia" w:ascii="宋体" w:hAnsi="宋体"/>
                <w:sz w:val="24"/>
              </w:rPr>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指定现场</w:t>
            </w:r>
            <w:r/>
          </w:p>
        </w:tc>
        <w:tc>
          <w:tcPr>
            <w:tcW w:w="3179" w:type="pct"/>
            <w:vAlign w:val="center"/>
            <w:textDirection w:val="lrTb"/>
            <w:noWrap w:val="false"/>
          </w:tcPr>
          <w:p>
            <w:pPr>
              <w:ind w:firstLine="0"/>
              <w:jc w:val="left"/>
              <w:spacing w:line="300" w:lineRule="exact"/>
              <w:rPr>
                <w:sz w:val="24"/>
              </w:rPr>
            </w:pPr>
            <w:r>
              <w:rPr>
                <w:sz w:val="24"/>
              </w:rPr>
            </w:r>
            <w:r/>
          </w:p>
        </w:tc>
      </w:tr>
      <w:tr>
        <w:trPr>
          <w:trHeight w:val="772"/>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第7.2款</w:t>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运输特殊要求</w:t>
            </w:r>
            <w:r/>
          </w:p>
        </w:tc>
        <w:tc>
          <w:tcPr>
            <w:tcW w:w="3179" w:type="pct"/>
            <w:vAlign w:val="center"/>
            <w:textDirection w:val="lrTb"/>
            <w:noWrap w:val="false"/>
          </w:tcPr>
          <w:p>
            <w:pPr>
              <w:ind w:firstLine="0"/>
              <w:spacing w:line="300" w:lineRule="exact"/>
              <w:rPr>
                <w:sz w:val="24"/>
              </w:rPr>
            </w:pPr>
            <w:r>
              <w:rPr>
                <w:rFonts w:hint="eastAsia"/>
                <w:sz w:val="24"/>
              </w:rPr>
              <w:t xml:space="preserve">1.货物验收合格、交付使用并提供所需单据的日期视为交货日期。</w:t>
            </w:r>
            <w:r/>
          </w:p>
          <w:p>
            <w:pPr>
              <w:pStyle w:val="859"/>
              <w:ind w:firstLine="0"/>
              <w:spacing w:line="3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2.乙方在货物发运手续办理完毕后24小时内或货到48小时前通知甲方，以准备接货。（具体时间根据双方实际需求调整）</w:t>
            </w:r>
            <w:r/>
          </w:p>
          <w:p>
            <w:pPr>
              <w:ind w:firstLine="0"/>
              <w:spacing w:line="300" w:lineRule="exact"/>
              <w:rPr>
                <w:sz w:val="24"/>
              </w:rPr>
            </w:pPr>
            <w:r>
              <w:rPr>
                <w:rFonts w:hint="eastAsia"/>
                <w:sz w:val="24"/>
              </w:rPr>
              <w:t xml:space="preserve">3.乙方装运的货物不应超过合同规定的数量或重量。乙方应对超交数量或超重而产生的一切后果负责。</w:t>
            </w:r>
            <w:r/>
          </w:p>
          <w:p>
            <w:pPr>
              <w:pStyle w:val="859"/>
              <w:ind w:firstLine="0"/>
              <w:spacing w:line="300" w:lineRule="exact"/>
              <w:rPr>
                <w:rFonts w:hint="eastAsia"/>
              </w:rPr>
            </w:pPr>
            <w:r>
              <w:rPr>
                <w:rFonts w:hint="eastAsia" w:ascii="Times New Roman" w:hAnsi="Times New Roman" w:eastAsia="宋体" w:cs="Times New Roman"/>
                <w:sz w:val="24"/>
                <w:szCs w:val="24"/>
              </w:rPr>
              <w:t xml:space="preserve">4.货物在交付甲方前发生的风险均由乙方负责。</w:t>
            </w:r>
            <w:r/>
          </w:p>
        </w:tc>
      </w:tr>
      <w:tr>
        <w:trPr>
          <w:trHeight w:val="667"/>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第7.3款</w:t>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保险要求</w:t>
            </w:r>
            <w:r/>
          </w:p>
        </w:tc>
        <w:tc>
          <w:tcPr>
            <w:tcW w:w="3179" w:type="pct"/>
            <w:vAlign w:val="center"/>
            <w:textDirection w:val="lrTb"/>
            <w:noWrap w:val="false"/>
          </w:tcPr>
          <w:p>
            <w:pPr>
              <w:ind w:firstLine="0"/>
              <w:spacing w:line="300" w:lineRule="exact"/>
              <w:rPr>
                <w:sz w:val="24"/>
              </w:rPr>
            </w:pPr>
            <w:r>
              <w:rPr>
                <w:sz w:val="24"/>
              </w:rPr>
              <w:t xml:space="preserve">货物交货前由乙方承担保险义务</w:t>
            </w:r>
            <w:r/>
          </w:p>
        </w:tc>
      </w:tr>
      <w:tr>
        <w:trPr>
          <w:trHeight w:val="736"/>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第8.2（1）项</w:t>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质量保证期</w:t>
            </w:r>
            <w:r/>
          </w:p>
        </w:tc>
        <w:tc>
          <w:tcPr>
            <w:tcW w:w="3179" w:type="pct"/>
            <w:vAlign w:val="center"/>
            <w:textDirection w:val="lrTb"/>
            <w:noWrap w:val="false"/>
          </w:tcPr>
          <w:p>
            <w:pPr>
              <w:pStyle w:val="682"/>
              <w:ind w:firstLine="0"/>
              <w:jc w:val="both"/>
              <w:spacing w:beforeAutospacing="0" w:afterAutospacing="0" w:line="300" w:lineRule="exact"/>
              <w:rPr>
                <w:rFonts w:hint="eastAsia" w:ascii="宋体" w:hAnsi="宋体"/>
              </w:rPr>
            </w:pPr>
            <w:r>
              <w:rPr>
                <w:rFonts w:hint="eastAsia" w:ascii="宋体" w:hAnsi="宋体"/>
              </w:rPr>
              <w:t xml:space="preserve">1.货物免费质保期</w:t>
            </w:r>
            <w:r>
              <w:rPr>
                <w:rFonts w:hint="eastAsia" w:ascii="宋体" w:hAnsi="宋体"/>
                <w:u w:val="single"/>
              </w:rPr>
              <w:t xml:space="preserve">5年</w:t>
            </w:r>
            <w:r>
              <w:rPr>
                <w:rFonts w:hint="eastAsia" w:ascii="宋体" w:hAnsi="宋体"/>
              </w:rPr>
              <w:t xml:space="preserve">。（</w:t>
            </w:r>
            <w:r>
              <w:rPr>
                <w:rFonts w:hint="eastAsia" w:ascii="宋体" w:hAnsi="宋体" w:cs="宋体"/>
              </w:rPr>
              <w:t xml:space="preserve">自交货验收合格之日起计），因人为因素出现的故障不在免费保修范围内。超过保修期的机器设备，终身维修，维修时只收部件成本费。</w:t>
            </w:r>
            <w:r/>
          </w:p>
        </w:tc>
      </w:tr>
      <w:tr>
        <w:trPr>
          <w:trHeight w:val="736"/>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第8.2（3）项</w:t>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货物质量缺陷响应时间</w:t>
            </w:r>
            <w:r/>
          </w:p>
        </w:tc>
        <w:tc>
          <w:tcPr>
            <w:tcW w:w="317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 如在使用过程中发生质量问题，乙方在接到甲方通知后在</w:t>
            </w:r>
            <w:r>
              <w:rPr>
                <w:rFonts w:hint="eastAsia" w:ascii="宋体" w:hAnsi="宋体"/>
                <w:sz w:val="24"/>
                <w:u w:val="single"/>
              </w:rPr>
              <w:t xml:space="preserve"> 12 </w:t>
            </w:r>
            <w:r>
              <w:rPr>
                <w:rFonts w:hint="eastAsia" w:ascii="宋体" w:hAnsi="宋体"/>
                <w:sz w:val="24"/>
              </w:rPr>
              <w:t xml:space="preserve">小时内到达甲方现场。</w:t>
            </w:r>
            <w:r/>
          </w:p>
        </w:tc>
      </w:tr>
      <w:tr>
        <w:trPr>
          <w:trHeight w:val="736"/>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第8款补充</w:t>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质量保证要求</w:t>
            </w:r>
            <w:r/>
          </w:p>
        </w:tc>
        <w:tc>
          <w:tcPr>
            <w:tcW w:w="317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1. 在质保期内，乙方应对货物出现的质量及安全问题负责处理解决并承担一切费用（因甲方不当使用的除外）。</w:t>
            </w:r>
            <w:r/>
          </w:p>
          <w:p>
            <w:pPr>
              <w:ind w:firstLine="0"/>
              <w:jc w:val="left"/>
              <w:spacing w:line="300" w:lineRule="exact"/>
              <w:rPr>
                <w:rFonts w:hint="eastAsia" w:ascii="宋体" w:hAnsi="宋体"/>
                <w:sz w:val="24"/>
              </w:rPr>
            </w:pPr>
            <w:r>
              <w:rPr>
                <w:rFonts w:hint="eastAsia" w:ascii="宋体" w:hAnsi="宋体"/>
                <w:sz w:val="24"/>
              </w:rPr>
              <w:t xml:space="preserve">2.乙方应按照国家有关法律法规规章和“三包”规定以及招标文件售后服务要求及投标文件售后服务承诺提供售后服务。</w:t>
            </w:r>
            <w:r/>
          </w:p>
          <w:p>
            <w:pPr>
              <w:ind w:firstLine="0"/>
              <w:jc w:val="left"/>
              <w:spacing w:line="300" w:lineRule="exact"/>
              <w:rPr>
                <w:rFonts w:hint="eastAsia" w:ascii="宋体" w:hAnsi="宋体"/>
                <w:sz w:val="24"/>
              </w:rPr>
            </w:pPr>
            <w:r>
              <w:rPr>
                <w:rFonts w:hint="eastAsia" w:ascii="宋体" w:hAnsi="宋体"/>
                <w:sz w:val="24"/>
              </w:rPr>
              <w:t xml:space="preserve">3.所有货物保修服务方式均为乙方上门保修，由乙方派员到货物使用现场维修，所产生的一切费用由乙方承担（双方视项目情况调整）。</w:t>
            </w:r>
            <w:r/>
          </w:p>
          <w:p>
            <w:pPr>
              <w:ind w:firstLine="0"/>
              <w:jc w:val="left"/>
              <w:spacing w:line="300" w:lineRule="exact"/>
              <w:rPr>
                <w:rFonts w:hint="eastAsia" w:ascii="宋体" w:hAnsi="宋体"/>
                <w:sz w:val="24"/>
              </w:rPr>
            </w:pPr>
            <w:r>
              <w:rPr>
                <w:rFonts w:hint="eastAsia" w:ascii="宋体" w:hAnsi="宋体"/>
                <w:sz w:val="24"/>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ind w:firstLine="0"/>
              <w:jc w:val="left"/>
              <w:spacing w:line="300" w:lineRule="exact"/>
              <w:rPr>
                <w:rFonts w:hint="eastAsia" w:ascii="宋体" w:hAnsi="宋体"/>
                <w:sz w:val="24"/>
              </w:rPr>
            </w:pPr>
            <w:r>
              <w:rPr>
                <w:rFonts w:hint="eastAsia" w:ascii="宋体" w:hAnsi="宋体"/>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ind w:firstLine="0"/>
              <w:jc w:val="left"/>
              <w:spacing w:line="300" w:lineRule="exact"/>
              <w:rPr>
                <w:rFonts w:hint="eastAsia" w:ascii="宋体" w:hAnsi="宋体"/>
                <w:sz w:val="24"/>
              </w:rPr>
            </w:pPr>
            <w:r>
              <w:rPr>
                <w:rFonts w:hint="eastAsia" w:ascii="宋体" w:hAnsi="宋体"/>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ind w:firstLine="0"/>
              <w:jc w:val="left"/>
              <w:spacing w:line="300" w:lineRule="exact"/>
              <w:rPr>
                <w:rFonts w:hint="eastAsia" w:ascii="宋体" w:hAnsi="宋体"/>
                <w:sz w:val="24"/>
              </w:rPr>
            </w:pPr>
            <w:r>
              <w:rPr>
                <w:rFonts w:hint="eastAsia" w:ascii="宋体" w:hAnsi="宋体"/>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682"/>
              <w:ind w:firstLine="0"/>
              <w:spacing w:beforeAutospacing="0" w:afterAutospacing="0" w:line="300" w:lineRule="exact"/>
              <w:rPr>
                <w:rFonts w:hint="eastAsia" w:ascii="宋体" w:hAnsi="宋体"/>
              </w:rPr>
            </w:pPr>
            <w:r>
              <w:rPr>
                <w:rFonts w:hint="eastAsia" w:ascii="宋体" w:hAnsi="宋体"/>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981" w:type="pct"/>
            <w:vAlign w:val="center"/>
            <w:textDirection w:val="lrTb"/>
            <w:noWrap w:val="false"/>
          </w:tcPr>
          <w:p>
            <w:pPr>
              <w:ind w:firstLine="0"/>
              <w:jc w:val="center"/>
              <w:spacing w:line="300" w:lineRule="exact"/>
              <w:rPr>
                <w:rFonts w:hint="eastAsia" w:ascii="宋体" w:hAnsi="宋体" w:cs="宋体"/>
                <w:sz w:val="24"/>
              </w:rPr>
            </w:pPr>
            <w:r>
              <w:rPr>
                <w:rFonts w:hint="eastAsia" w:ascii="宋体" w:hAnsi="宋体" w:cs="宋体"/>
                <w:sz w:val="24"/>
              </w:rPr>
              <w:t xml:space="preserve">第二节</w:t>
            </w:r>
            <w:r/>
          </w:p>
          <w:p>
            <w:pPr>
              <w:ind w:firstLine="0"/>
              <w:jc w:val="center"/>
              <w:spacing w:line="300" w:lineRule="exact"/>
              <w:rPr>
                <w:rFonts w:hint="eastAsia" w:ascii="华文楷体" w:hAnsi="华文楷体" w:eastAsia="华文楷体" w:cs="华文楷体"/>
                <w:sz w:val="24"/>
              </w:rPr>
            </w:pPr>
            <w:r>
              <w:rPr>
                <w:rFonts w:hint="eastAsia" w:ascii="宋体" w:hAnsi="宋体" w:cs="宋体"/>
                <w:sz w:val="24"/>
              </w:rPr>
              <w:t xml:space="preserve">第11.1款</w:t>
            </w:r>
            <w:r/>
          </w:p>
        </w:tc>
        <w:tc>
          <w:tcPr>
            <w:tcW w:w="839" w:type="pct"/>
            <w:vAlign w:val="center"/>
            <w:textDirection w:val="lrTb"/>
            <w:noWrap w:val="false"/>
          </w:tcPr>
          <w:p>
            <w:pPr>
              <w:ind w:firstLine="0"/>
              <w:spacing w:line="300" w:lineRule="exact"/>
              <w:rPr>
                <w:rFonts w:hint="eastAsia" w:ascii="宋体" w:hAnsi="宋体"/>
                <w:sz w:val="24"/>
              </w:rPr>
            </w:pPr>
            <w:r>
              <w:rPr>
                <w:rFonts w:hint="eastAsia" w:ascii="宋体" w:hAnsi="宋体"/>
                <w:sz w:val="24"/>
              </w:rPr>
              <w:t xml:space="preserve">其他应当保密的信息</w:t>
            </w:r>
            <w:r/>
          </w:p>
        </w:tc>
        <w:tc>
          <w:tcPr>
            <w:tcW w:w="317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r>
            <w:r/>
          </w:p>
        </w:tc>
      </w:tr>
      <w:tr>
        <w:trPr>
          <w:trHeight w:val="697"/>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第12.2款</w:t>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合同价款支付时间及要求</w:t>
            </w:r>
            <w:r/>
          </w:p>
        </w:tc>
        <w:tc>
          <w:tcPr>
            <w:tcW w:w="317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1.合同款项的支付方式及进度安排：</w:t>
            </w:r>
            <w:r/>
          </w:p>
          <w:p>
            <w:pPr>
              <w:ind w:firstLine="0"/>
              <w:jc w:val="left"/>
              <w:spacing w:line="300" w:lineRule="exact"/>
              <w:rPr>
                <w:rFonts w:hint="eastAsia" w:ascii="宋体" w:hAnsi="宋体"/>
                <w:sz w:val="24"/>
              </w:rPr>
            </w:pPr>
            <w:r>
              <w:rPr>
                <w:rFonts w:hint="eastAsia" w:ascii="宋体" w:hAnsi="宋体"/>
                <w:sz w:val="24"/>
              </w:rPr>
              <w:t xml:space="preserve">①自合同签订生效之日起，</w:t>
            </w:r>
            <w:r>
              <w:rPr>
                <w:rFonts w:hint="eastAsia" w:ascii="Segoe UI" w:hAnsi="Segoe UI" w:eastAsia="Segoe UI" w:cs="Segoe UI"/>
                <w:color w:val="0f1115"/>
                <w:sz w:val="24"/>
                <w:shd w:val="clear" w:color="auto" w:fill="ffffff"/>
              </w:rPr>
              <w:t xml:space="preserve">待财政资金到账，</w:t>
            </w:r>
            <w:r>
              <w:rPr>
                <w:rFonts w:hint="eastAsia" w:ascii="宋体" w:hAnsi="宋体"/>
                <w:sz w:val="24"/>
              </w:rPr>
              <w:t xml:space="preserve">收到乙方发票10个工作日内，甲方向乙方支付合同总价的30%款项作为预付款；</w:t>
            </w:r>
            <w:r/>
          </w:p>
          <w:p>
            <w:pPr>
              <w:ind w:firstLine="0"/>
              <w:jc w:val="left"/>
              <w:spacing w:line="300" w:lineRule="exact"/>
              <w:rPr>
                <w:rFonts w:hint="eastAsia" w:ascii="宋体" w:hAnsi="宋体"/>
                <w:sz w:val="24"/>
              </w:rPr>
            </w:pPr>
            <w:r>
              <w:rPr>
                <w:rFonts w:hint="eastAsia" w:ascii="宋体" w:hAnsi="宋体"/>
                <w:sz w:val="24"/>
              </w:rPr>
              <w:t xml:space="preserve">②</w:t>
            </w:r>
            <w:r>
              <w:rPr>
                <w:rFonts w:hint="eastAsia" w:ascii="Segoe UI" w:hAnsi="Segoe UI" w:eastAsia="Segoe UI" w:cs="Segoe UI"/>
                <w:color w:val="0f1115"/>
                <w:sz w:val="24"/>
                <w:shd w:val="clear" w:color="auto" w:fill="ffffff"/>
              </w:rPr>
              <w:t xml:space="preserve">设备安装调试完毕并经文物主管部门验收合格，待财政资金到账，收到乙方发票10个工作日内甲方向乙方支付至合同价的100%</w:t>
            </w:r>
            <w:r>
              <w:rPr>
                <w:rFonts w:hint="eastAsia" w:ascii="宋体" w:hAnsi="宋体"/>
                <w:sz w:val="24"/>
              </w:rPr>
              <w:t xml:space="preserve">。</w:t>
            </w:r>
            <w:r/>
          </w:p>
          <w:p>
            <w:pPr>
              <w:ind w:firstLine="0"/>
              <w:jc w:val="left"/>
              <w:spacing w:line="300" w:lineRule="exact"/>
              <w:rPr>
                <w:rFonts w:hint="eastAsia" w:ascii="宋体" w:hAnsi="宋体"/>
                <w:sz w:val="24"/>
              </w:rPr>
            </w:pPr>
            <w:r>
              <w:rPr>
                <w:rFonts w:hint="eastAsia" w:ascii="宋体" w:hAnsi="宋体"/>
                <w:sz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ind w:firstLine="0"/>
              <w:jc w:val="left"/>
              <w:spacing w:line="300" w:lineRule="exact"/>
              <w:rPr>
                <w:rFonts w:hint="eastAsia" w:ascii="宋体" w:hAnsi="宋体"/>
                <w:sz w:val="24"/>
              </w:rPr>
            </w:pPr>
            <w:r>
              <w:rPr>
                <w:rFonts w:hint="eastAsia" w:ascii="宋体" w:hAnsi="宋体"/>
                <w:sz w:val="24"/>
              </w:rPr>
              <w:t xml:space="preserve">(1) 发票；</w:t>
            </w:r>
            <w:r/>
          </w:p>
          <w:p>
            <w:pPr>
              <w:ind w:firstLine="0"/>
              <w:jc w:val="left"/>
              <w:spacing w:line="300" w:lineRule="exact"/>
              <w:rPr>
                <w:rFonts w:hint="eastAsia" w:ascii="宋体" w:hAnsi="宋体"/>
                <w:sz w:val="24"/>
              </w:rPr>
            </w:pPr>
            <w:r>
              <w:rPr>
                <w:rFonts w:hint="eastAsia" w:ascii="宋体" w:hAnsi="宋体"/>
                <w:sz w:val="24"/>
              </w:rPr>
              <w:t xml:space="preserve">(2) 制造厂家出具的质量检验证书等；</w:t>
            </w:r>
            <w:r/>
          </w:p>
          <w:p>
            <w:pPr>
              <w:ind w:firstLine="0"/>
              <w:jc w:val="left"/>
              <w:spacing w:line="300" w:lineRule="exact"/>
              <w:rPr>
                <w:rFonts w:hint="eastAsia" w:ascii="宋体" w:hAnsi="宋体"/>
                <w:sz w:val="24"/>
              </w:rPr>
            </w:pPr>
            <w:r>
              <w:rPr>
                <w:rFonts w:hint="eastAsia" w:ascii="宋体" w:hAnsi="宋体"/>
                <w:sz w:val="24"/>
              </w:rPr>
              <w:t xml:space="preserve">(3) 装箱单；</w:t>
            </w:r>
            <w:r/>
          </w:p>
          <w:p>
            <w:pPr>
              <w:ind w:firstLine="0"/>
              <w:jc w:val="left"/>
              <w:spacing w:line="300" w:lineRule="exact"/>
              <w:rPr>
                <w:sz w:val="24"/>
              </w:rPr>
            </w:pPr>
            <w:r>
              <w:rPr>
                <w:rFonts w:hint="eastAsia" w:ascii="宋体" w:hAnsi="宋体"/>
                <w:sz w:val="24"/>
              </w:rPr>
              <w:t xml:space="preserve">(4) 甲方加盖公章证明交付使用合格的验收单。</w:t>
            </w:r>
            <w:r/>
          </w:p>
        </w:tc>
      </w:tr>
      <w:tr>
        <w:trPr>
          <w:trHeight w:val="697"/>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第13.2款</w:t>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履约保证金不予退还的情形</w:t>
            </w:r>
            <w:r/>
          </w:p>
        </w:tc>
        <w:tc>
          <w:tcPr>
            <w:tcW w:w="3179" w:type="pct"/>
            <w:vAlign w:val="center"/>
            <w:textDirection w:val="lrTb"/>
            <w:noWrap w:val="false"/>
          </w:tcPr>
          <w:p>
            <w:pPr>
              <w:ind w:firstLine="0"/>
              <w:spacing w:line="300" w:lineRule="exact"/>
              <w:rPr>
                <w:rFonts w:hint="eastAsia" w:ascii="宋体" w:hAnsi="宋体" w:cs="宋体"/>
                <w:sz w:val="24"/>
              </w:rPr>
            </w:pPr>
            <w:r>
              <w:rPr>
                <w:rFonts w:hint="eastAsia" w:ascii="宋体" w:hAnsi="宋体" w:cs="宋体"/>
                <w:sz w:val="24"/>
              </w:rPr>
              <w:t xml:space="preserve">除不可抗力情况外，投标人出现下列情形之一的，其履约保证金，招标人将视情节决定不予退还或部分不予退还。</w:t>
            </w:r>
            <w:r/>
          </w:p>
          <w:p>
            <w:pPr>
              <w:ind w:firstLine="0"/>
              <w:spacing w:line="300" w:lineRule="exact"/>
              <w:rPr>
                <w:rFonts w:hint="eastAsia" w:ascii="宋体" w:hAnsi="宋体" w:cs="宋体"/>
                <w:sz w:val="24"/>
              </w:rPr>
            </w:pPr>
            <w:r>
              <w:rPr>
                <w:rFonts w:hint="eastAsia" w:ascii="宋体" w:hAnsi="宋体" w:cs="宋体"/>
                <w:sz w:val="24"/>
              </w:rPr>
              <w:t xml:space="preserve">（1）中标人无正当理由拒绝签订合同的，或者在签订合同时向采购人提出附加条件或者更改合同实质性内容要求的；</w:t>
            </w:r>
            <w:r/>
          </w:p>
          <w:p>
            <w:pPr>
              <w:ind w:firstLine="0"/>
              <w:spacing w:line="300" w:lineRule="exact"/>
              <w:rPr>
                <w:rFonts w:hint="eastAsia" w:ascii="宋体" w:hAnsi="宋体" w:cs="宋体"/>
                <w:sz w:val="24"/>
              </w:rPr>
            </w:pPr>
            <w:r>
              <w:rPr>
                <w:rFonts w:hint="eastAsia" w:ascii="宋体" w:hAnsi="宋体" w:cs="宋体"/>
                <w:sz w:val="24"/>
              </w:rPr>
              <w:t xml:space="preserve">（2）中标人不履行与采购人订立的合同的；</w:t>
            </w:r>
            <w:r/>
          </w:p>
          <w:p>
            <w:pPr>
              <w:ind w:firstLine="0"/>
              <w:spacing w:line="300" w:lineRule="exact"/>
              <w:rPr>
                <w:rFonts w:hint="eastAsia" w:ascii="宋体" w:hAnsi="宋体" w:cs="宋体"/>
                <w:sz w:val="24"/>
              </w:rPr>
            </w:pPr>
            <w:r>
              <w:rPr>
                <w:rFonts w:hint="eastAsia" w:ascii="宋体" w:hAnsi="宋体" w:cs="宋体"/>
                <w:sz w:val="24"/>
              </w:rPr>
              <w:t xml:space="preserve">（3）中标人所供货物或服务不符合招标文件规定要求的；</w:t>
            </w:r>
            <w:r/>
          </w:p>
          <w:p>
            <w:pPr>
              <w:ind w:firstLine="0"/>
              <w:spacing w:line="300" w:lineRule="exact"/>
              <w:rPr>
                <w:rFonts w:hint="eastAsia" w:ascii="宋体" w:hAnsi="宋体" w:cs="宋体"/>
                <w:sz w:val="24"/>
              </w:rPr>
            </w:pPr>
            <w:r>
              <w:rPr>
                <w:rFonts w:hint="eastAsia" w:ascii="宋体" w:hAnsi="宋体" w:cs="宋体"/>
                <w:sz w:val="24"/>
              </w:rPr>
              <w:t xml:space="preserve">（4）中标人采取欺骗、弄虚作假方式投标的或与其他投标人串通投标的；</w:t>
            </w:r>
            <w:r/>
          </w:p>
          <w:p>
            <w:pPr>
              <w:ind w:firstLine="0"/>
              <w:spacing w:line="300" w:lineRule="exact"/>
              <w:rPr>
                <w:rFonts w:hint="eastAsia" w:ascii="宋体" w:hAnsi="宋体" w:cs="宋体"/>
                <w:sz w:val="24"/>
              </w:rPr>
            </w:pPr>
            <w:r>
              <w:rPr>
                <w:rFonts w:hint="eastAsia" w:ascii="宋体" w:hAnsi="宋体" w:cs="宋体"/>
                <w:sz w:val="24"/>
              </w:rPr>
              <w:t xml:space="preserve">（5）中标人将合同内容转包、违法分包的；</w:t>
            </w:r>
            <w:r/>
          </w:p>
          <w:p>
            <w:pPr>
              <w:ind w:firstLine="0"/>
              <w:spacing w:line="300" w:lineRule="exact"/>
              <w:rPr>
                <w:rFonts w:hint="eastAsia" w:ascii="宋体" w:hAnsi="宋体"/>
                <w:sz w:val="24"/>
              </w:rPr>
            </w:pPr>
            <w:r>
              <w:rPr>
                <w:rFonts w:hint="eastAsia" w:ascii="宋体" w:hAnsi="宋体" w:cs="宋体"/>
                <w:sz w:val="24"/>
              </w:rPr>
              <w:t xml:space="preserve">（6）中标人故意捏造事实或伪造证明材料，进行虚假恶意投诉或反映的。</w:t>
            </w:r>
            <w:r/>
          </w:p>
        </w:tc>
      </w:tr>
      <w:tr>
        <w:trPr>
          <w:trHeight w:val="736"/>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第13.3款</w:t>
            </w:r>
            <w:r/>
          </w:p>
        </w:tc>
        <w:tc>
          <w:tcPr>
            <w:tcW w:w="839" w:type="pct"/>
            <w:vAlign w:val="center"/>
            <w:textDirection w:val="lrTb"/>
            <w:noWrap w:val="false"/>
          </w:tcPr>
          <w:p>
            <w:pPr>
              <w:ind w:firstLine="0"/>
              <w:jc w:val="left"/>
              <w:spacing w:line="300" w:lineRule="exact"/>
              <w:rPr>
                <w:rFonts w:hint="eastAsia" w:ascii="宋体" w:hAnsi="宋体" w:cs="宋体"/>
                <w:sz w:val="24"/>
              </w:rPr>
            </w:pPr>
            <w:r>
              <w:rPr>
                <w:rFonts w:hint="eastAsia" w:ascii="宋体" w:hAnsi="宋体" w:cs="宋体"/>
                <w:sz w:val="24"/>
              </w:rPr>
              <w:t xml:space="preserve">履约保证金退还时间及逾期退还的违约金</w:t>
            </w:r>
            <w:r/>
          </w:p>
        </w:tc>
        <w:tc>
          <w:tcPr>
            <w:tcW w:w="3179" w:type="pct"/>
            <w:vAlign w:val="center"/>
            <w:textDirection w:val="lrTb"/>
            <w:noWrap w:val="false"/>
          </w:tcPr>
          <w:p>
            <w:pPr>
              <w:ind w:firstLine="0"/>
              <w:spacing w:line="300" w:lineRule="exact"/>
              <w:rPr>
                <w:rFonts w:hint="eastAsia" w:ascii="宋体" w:hAnsi="宋体" w:cs="宋体"/>
                <w:sz w:val="24"/>
              </w:rPr>
            </w:pPr>
            <w:r>
              <w:rPr>
                <w:rFonts w:hint="eastAsia" w:ascii="宋体" w:hAnsi="宋体" w:cs="宋体"/>
                <w:sz w:val="24"/>
              </w:rPr>
              <w:t xml:space="preserve">1、合同履行结束后，甲方应及时退还交纳的履约保证金。</w:t>
            </w:r>
            <w:r/>
          </w:p>
          <w:p>
            <w:pPr>
              <w:ind w:firstLine="0"/>
              <w:spacing w:line="300" w:lineRule="exact"/>
              <w:rPr>
                <w:rFonts w:hint="eastAsia" w:ascii="宋体" w:hAnsi="宋体" w:cs="宋体"/>
                <w:sz w:val="24"/>
              </w:rPr>
            </w:pPr>
            <w:r>
              <w:rPr>
                <w:rFonts w:hint="eastAsia" w:ascii="宋体" w:hAnsi="宋体" w:cs="宋体"/>
                <w:sz w:val="24"/>
              </w:rPr>
              <w:t xml:space="preserve">2、退还方式：退还至投标人缴纳履约保证金的账户。如为保函，在到期时自行失效。</w:t>
            </w:r>
            <w:r/>
          </w:p>
          <w:p>
            <w:pPr>
              <w:ind w:firstLine="0"/>
              <w:spacing w:line="300" w:lineRule="exact"/>
              <w:rPr>
                <w:rFonts w:hint="eastAsia" w:ascii="宋体" w:hAnsi="宋体" w:cs="宋体"/>
                <w:sz w:val="24"/>
              </w:rPr>
            </w:pPr>
            <w:r>
              <w:rPr>
                <w:rFonts w:hint="eastAsia" w:ascii="宋体" w:hAnsi="宋体" w:cs="宋体"/>
                <w:sz w:val="24"/>
              </w:rPr>
              <w:t xml:space="preserve">3、退还时间：验收合格且甲方收到发票后30日内。</w:t>
            </w:r>
            <w:r/>
          </w:p>
          <w:p>
            <w:pPr>
              <w:ind w:firstLine="0"/>
              <w:spacing w:line="300" w:lineRule="exact"/>
              <w:rPr>
                <w:rFonts w:hint="eastAsia" w:ascii="宋体" w:hAnsi="宋体" w:cs="宋体"/>
                <w:sz w:val="24"/>
              </w:rPr>
            </w:pPr>
            <w:r>
              <w:rPr>
                <w:rFonts w:hint="eastAsia" w:ascii="宋体" w:hAnsi="宋体" w:cs="宋体"/>
                <w:sz w:val="24"/>
              </w:rPr>
              <w:t xml:space="preserve">4、退还条件：按合同要求全部履约完成并经采购人验收合格，且采购人收到中标人出具的发票。</w:t>
            </w:r>
            <w:r/>
          </w:p>
          <w:p>
            <w:pPr>
              <w:ind w:firstLine="0"/>
              <w:spacing w:line="300" w:lineRule="exact"/>
              <w:rPr>
                <w:rFonts w:hint="eastAsia" w:ascii="宋体" w:hAnsi="宋体" w:cs="宋体"/>
                <w:sz w:val="24"/>
              </w:rPr>
            </w:pPr>
            <w:r>
              <w:rPr>
                <w:rFonts w:hint="eastAsia" w:ascii="宋体" w:hAnsi="宋体" w:cs="宋体"/>
                <w:sz w:val="24"/>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第14.1（3）项</w:t>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运行监督、维修期限</w:t>
            </w:r>
            <w:r/>
          </w:p>
        </w:tc>
        <w:tc>
          <w:tcPr>
            <w:tcW w:w="317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r>
            <w:r/>
          </w:p>
        </w:tc>
      </w:tr>
      <w:tr>
        <w:trPr>
          <w:trHeight w:val="784"/>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第14.1（5）项</w:t>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货物回收的约定</w:t>
            </w:r>
            <w:r/>
          </w:p>
        </w:tc>
        <w:tc>
          <w:tcPr>
            <w:tcW w:w="317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r>
            <w:r/>
          </w:p>
        </w:tc>
      </w:tr>
      <w:tr>
        <w:trPr>
          <w:trHeight w:val="736"/>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第14.1（6）项</w:t>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乙方提供的其他服务</w:t>
            </w:r>
            <w:r/>
          </w:p>
        </w:tc>
        <w:tc>
          <w:tcPr>
            <w:tcW w:w="317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r>
            <w:r/>
          </w:p>
        </w:tc>
      </w:tr>
      <w:tr>
        <w:trPr>
          <w:trHeight w:val="736"/>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第15.1款</w:t>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修理、重做、更换相关具体规定</w:t>
            </w:r>
            <w:r/>
          </w:p>
        </w:tc>
        <w:tc>
          <w:tcPr>
            <w:tcW w:w="3179" w:type="pct"/>
            <w:vAlign w:val="center"/>
            <w:textDirection w:val="lrTb"/>
            <w:noWrap w:val="false"/>
          </w:tcPr>
          <w:p>
            <w:pPr>
              <w:numPr>
                <w:ilvl w:val="0"/>
                <w:numId w:val="7"/>
              </w:numPr>
              <w:ind w:firstLine="0"/>
              <w:jc w:val="left"/>
              <w:spacing w:line="300" w:lineRule="exact"/>
              <w:rPr>
                <w:rFonts w:hint="eastAsia" w:ascii="宋体" w:hAnsi="宋体"/>
                <w:sz w:val="24"/>
              </w:rPr>
            </w:pPr>
            <w:r>
              <w:rPr>
                <w:rFonts w:hint="eastAsia" w:ascii="宋体" w:hAnsi="宋体"/>
                <w:sz w:val="24"/>
              </w:rPr>
              <w:t xml:space="preserve">详见合同通用条款8.2条款、合同专用条款第二节第8款补充条款及合同专用条款中索赔条款。</w:t>
            </w:r>
            <w:r/>
          </w:p>
          <w:p>
            <w:pPr>
              <w:numPr>
                <w:ilvl w:val="0"/>
                <w:numId w:val="7"/>
              </w:numPr>
              <w:ind w:firstLine="0"/>
              <w:jc w:val="left"/>
              <w:spacing w:line="300" w:lineRule="exact"/>
              <w:rPr>
                <w:rFonts w:hint="eastAsia" w:ascii="宋体" w:hAnsi="宋体"/>
                <w:sz w:val="24"/>
              </w:rPr>
            </w:pPr>
            <w:r>
              <w:rPr>
                <w:rFonts w:hint="eastAsia" w:ascii="宋体" w:hAnsi="宋体"/>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第15.2（2）项</w:t>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迟延交货赔偿费</w:t>
            </w:r>
            <w:r/>
          </w:p>
        </w:tc>
        <w:tc>
          <w:tcPr>
            <w:tcW w:w="317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1.乙方应按照“开标（报价）一览表”中规定的交货期或承诺交货和提供服务，并交付甲方验收使用。</w:t>
            </w:r>
            <w:r/>
          </w:p>
          <w:p>
            <w:pPr>
              <w:ind w:firstLine="0"/>
              <w:jc w:val="left"/>
              <w:spacing w:line="300" w:lineRule="exact"/>
              <w:rPr>
                <w:rFonts w:hint="eastAsia" w:ascii="宋体" w:hAnsi="宋体"/>
                <w:sz w:val="24"/>
              </w:rPr>
            </w:pPr>
            <w:r>
              <w:rPr>
                <w:rFonts w:hint="eastAsia" w:ascii="宋体" w:hAnsi="宋体"/>
                <w:sz w:val="24"/>
              </w:rPr>
              <w:t xml:space="preserve">2.如果乙方无正当理由拖延交货，将受到以下制裁：加收误期赔偿或终止合同。</w:t>
            </w:r>
            <w:r/>
          </w:p>
          <w:p>
            <w:pPr>
              <w:ind w:firstLine="0"/>
              <w:jc w:val="left"/>
              <w:spacing w:line="300" w:lineRule="exact"/>
              <w:rPr>
                <w:rFonts w:hint="eastAsia" w:ascii="宋体" w:hAnsi="宋体"/>
                <w:sz w:val="24"/>
              </w:rPr>
            </w:pPr>
            <w:r>
              <w:rPr>
                <w:rFonts w:hint="eastAsia" w:ascii="宋体" w:hAnsi="宋体"/>
                <w:sz w:val="24"/>
              </w:rPr>
              <w:t xml:space="preserve">3.乙方逾期交付货物的，乙方应按逾期交货总额每日</w:t>
            </w:r>
            <w:r>
              <w:rPr>
                <w:rFonts w:hint="eastAsia" w:ascii="宋体" w:hAnsi="宋体"/>
                <w:sz w:val="24"/>
                <w:u w:val="single"/>
              </w:rPr>
              <w:t xml:space="preserve">千分之五</w:t>
            </w:r>
            <w:r>
              <w:rPr>
                <w:rFonts w:hint="eastAsia" w:ascii="宋体" w:hAnsi="宋体"/>
                <w:sz w:val="24"/>
              </w:rPr>
              <w:t xml:space="preserve">向甲方支付违约金，由甲方从待付货款中扣除。逾期超过约定日期</w:t>
            </w:r>
            <w:r>
              <w:rPr>
                <w:rFonts w:hint="eastAsia" w:ascii="宋体" w:hAnsi="宋体"/>
                <w:sz w:val="24"/>
                <w:u w:val="single"/>
              </w:rPr>
              <w:t xml:space="preserve">30</w:t>
            </w:r>
            <w:r>
              <w:rPr>
                <w:rFonts w:hint="eastAsia" w:ascii="宋体" w:hAnsi="宋体"/>
                <w:sz w:val="24"/>
              </w:rPr>
              <w:t xml:space="preserve">个工作日不能交货的，甲方可解除本合同。乙方因逾期交货或因其他违约行为导致甲方解除合同的，乙方应向甲方支付合同总值</w:t>
            </w:r>
            <w:r>
              <w:rPr>
                <w:rFonts w:hint="eastAsia" w:ascii="宋体" w:hAnsi="宋体"/>
                <w:sz w:val="24"/>
                <w:u w:val="single"/>
              </w:rPr>
              <w:t xml:space="preserve">10%</w:t>
            </w:r>
            <w:r>
              <w:rPr>
                <w:rFonts w:hint="eastAsia" w:ascii="宋体" w:hAnsi="宋体"/>
                <w:sz w:val="24"/>
              </w:rPr>
              <w:t xml:space="preserve">的违约金，如造成甲方损失超过违约金的，超出部分由乙方继续承担赔偿责任。 </w:t>
            </w:r>
            <w:r/>
          </w:p>
          <w:p>
            <w:pPr>
              <w:ind w:firstLine="0"/>
              <w:jc w:val="left"/>
              <w:spacing w:line="300" w:lineRule="exact"/>
              <w:rPr>
                <w:rFonts w:hint="eastAsia" w:ascii="宋体" w:hAnsi="宋体"/>
                <w:sz w:val="24"/>
                <w:u w:val="single"/>
              </w:rPr>
            </w:pPr>
            <w:r>
              <w:rPr>
                <w:rFonts w:hint="eastAsia" w:ascii="宋体" w:hAnsi="宋体"/>
                <w:sz w:val="24"/>
              </w:rPr>
              <w:t xml:space="preserve">4.如乙方不能交付货物，或者有违法转包他人情形，乙方应向甲方支付合同总价</w:t>
            </w:r>
            <w:r>
              <w:rPr>
                <w:rFonts w:hint="eastAsia" w:ascii="宋体" w:hAnsi="宋体"/>
                <w:sz w:val="24"/>
                <w:u w:val="single"/>
              </w:rPr>
              <w:t xml:space="preserve">10%</w:t>
            </w:r>
            <w:r>
              <w:rPr>
                <w:rFonts w:hint="eastAsia" w:ascii="宋体" w:hAnsi="宋体"/>
                <w:sz w:val="24"/>
              </w:rPr>
              <w:t xml:space="preserve">的滞纳金。</w:t>
            </w:r>
            <w:r/>
          </w:p>
        </w:tc>
      </w:tr>
      <w:tr>
        <w:trPr>
          <w:trHeight w:val="736"/>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第15.3款</w:t>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逾期付款利息</w:t>
            </w:r>
            <w:r/>
          </w:p>
        </w:tc>
        <w:tc>
          <w:tcPr>
            <w:tcW w:w="3179" w:type="pct"/>
            <w:vAlign w:val="center"/>
            <w:textDirection w:val="lrTb"/>
            <w:noWrap w:val="false"/>
          </w:tcPr>
          <w:p>
            <w:pPr>
              <w:pStyle w:val="682"/>
              <w:ind w:firstLine="0"/>
              <w:jc w:val="both"/>
              <w:spacing w:beforeAutospacing="0" w:afterAutospacing="0" w:line="300" w:lineRule="exact"/>
            </w:pPr>
            <w:r>
              <w:rPr>
                <w:rFonts w:hint="eastAsia" w:ascii="宋体" w:hAnsi="宋体" w:cs="宋体"/>
              </w:rPr>
              <w:t xml:space="preserve">1.甲方无正当理由拒收货物的，甲方向乙方偿付拒收货款总值</w:t>
            </w:r>
            <w:r>
              <w:rPr>
                <w:rFonts w:hint="eastAsia" w:ascii="宋体" w:hAnsi="宋体"/>
                <w:u w:val="single"/>
              </w:rPr>
              <w:t xml:space="preserve">千分之五</w:t>
            </w:r>
            <w:r>
              <w:rPr>
                <w:rFonts w:hint="eastAsia" w:ascii="宋体" w:hAnsi="宋体" w:cs="宋体"/>
              </w:rPr>
              <w:t xml:space="preserve">的违约金。</w:t>
            </w:r>
            <w:r/>
          </w:p>
          <w:p>
            <w:pPr>
              <w:pStyle w:val="682"/>
              <w:ind w:firstLine="0"/>
              <w:jc w:val="both"/>
              <w:spacing w:beforeAutospacing="0" w:afterAutospacing="0" w:line="300" w:lineRule="exact"/>
              <w:rPr>
                <w:rFonts w:hint="eastAsia" w:ascii="宋体" w:hAnsi="宋体"/>
                <w:u w:val="single"/>
              </w:rPr>
            </w:pPr>
            <w:r>
              <w:rPr>
                <w:rFonts w:hint="eastAsia" w:ascii="宋体" w:hAnsi="宋体" w:cs="宋体"/>
              </w:rPr>
              <w:t xml:space="preserve">2.甲方无故逾期验收和办理货款支付手续的,甲方应按逾期付款总额每日</w:t>
            </w:r>
            <w:r>
              <w:rPr>
                <w:rFonts w:hint="eastAsia" w:ascii="宋体" w:hAnsi="宋体" w:cs="宋体"/>
                <w:u w:val="single"/>
              </w:rPr>
              <w:t xml:space="preserve">万分之五</w:t>
            </w:r>
            <w:r>
              <w:rPr>
                <w:rFonts w:hint="eastAsia" w:ascii="宋体" w:hAnsi="宋体" w:cs="宋体"/>
              </w:rPr>
              <w:t xml:space="preserve">向乙方支付违约金。</w:t>
            </w:r>
            <w:r/>
          </w:p>
        </w:tc>
      </w:tr>
      <w:tr>
        <w:trPr>
          <w:trHeight w:val="876"/>
        </w:trPr>
        <w:tc>
          <w:tcPr>
            <w:tcBorders>
              <w:bottom w:val="single" w:color="000000" w:sz="2" w:space="0"/>
              <w:right w:val="single" w:color="000000" w:sz="2" w:space="0"/>
            </w:tcBorders>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3179" w:type="pct"/>
            <w:vAlign w:val="center"/>
            <w:textDirection w:val="lrTb"/>
            <w:noWrap w:val="false"/>
          </w:tcPr>
          <w:p>
            <w:pPr>
              <w:ind w:firstLine="0"/>
              <w:jc w:val="left"/>
              <w:spacing w:line="300" w:lineRule="exact"/>
              <w:rPr>
                <w:rFonts w:hint="eastAsia" w:ascii="宋体" w:hAnsi="宋体"/>
                <w:sz w:val="24"/>
                <w:u w:val="single"/>
              </w:rPr>
            </w:pPr>
            <w:r>
              <w:rPr>
                <w:rFonts w:hint="eastAsia" w:ascii="宋体" w:hAnsi="宋体"/>
                <w:sz w:val="24"/>
                <w:u w:val="single"/>
              </w:rPr>
            </w:r>
            <w:r/>
          </w:p>
        </w:tc>
      </w:tr>
      <w:tr>
        <w:trPr>
          <w:trHeight w:val="90"/>
        </w:trPr>
        <w:tc>
          <w:tcPr>
            <w:tcBorders>
              <w:top w:val="single" w:color="000000" w:sz="2" w:space="0"/>
              <w:right w:val="single" w:color="000000" w:sz="2" w:space="0"/>
            </w:tcBorders>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317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1.因本合同及合同有关事项发生的争议，由双方协商解决，协商不成时，按下列第</w:t>
            </w:r>
            <w:r>
              <w:rPr>
                <w:rFonts w:hint="eastAsia" w:ascii="宋体" w:hAnsi="宋体"/>
                <w:sz w:val="24"/>
                <w:u w:val="single"/>
              </w:rPr>
              <w:t xml:space="preserve"> （2） </w:t>
            </w:r>
            <w:r>
              <w:rPr>
                <w:rFonts w:hint="eastAsia" w:ascii="宋体" w:hAnsi="宋体"/>
                <w:sz w:val="24"/>
              </w:rPr>
              <w:t xml:space="preserve">种方式解决：</w:t>
            </w:r>
            <w:r/>
          </w:p>
          <w:p>
            <w:pPr>
              <w:ind w:firstLine="0"/>
              <w:jc w:val="left"/>
              <w:spacing w:line="300" w:lineRule="exact"/>
              <w:rPr>
                <w:rFonts w:hint="eastAsia" w:ascii="宋体" w:hAnsi="宋体"/>
                <w:sz w:val="24"/>
              </w:rPr>
            </w:pPr>
            <w:r>
              <w:rPr>
                <w:rFonts w:hint="eastAsia" w:ascii="宋体" w:hAnsi="宋体"/>
                <w:sz w:val="24"/>
              </w:rPr>
              <w:t xml:space="preserve">（1）向仲裁委员会申请仲裁，仲裁地点为</w:t>
            </w:r>
            <w:r>
              <w:rPr>
                <w:rFonts w:hint="eastAsia" w:ascii="宋体" w:hAnsi="宋体"/>
                <w:sz w:val="24"/>
                <w:u w:val="single"/>
              </w:rPr>
              <w:t xml:space="preserve">     </w:t>
            </w:r>
            <w:r>
              <w:rPr>
                <w:rFonts w:hint="eastAsia" w:ascii="宋体" w:hAnsi="宋体"/>
                <w:sz w:val="24"/>
              </w:rPr>
              <w:t xml:space="preserve">；</w:t>
            </w:r>
            <w:r/>
          </w:p>
          <w:p>
            <w:pPr>
              <w:ind w:firstLine="0"/>
              <w:jc w:val="left"/>
              <w:spacing w:line="300" w:lineRule="exact"/>
              <w:rPr>
                <w:rFonts w:hint="eastAsia" w:ascii="宋体" w:hAnsi="宋体"/>
                <w:sz w:val="24"/>
              </w:rPr>
            </w:pPr>
            <w:r>
              <w:rPr>
                <w:rFonts w:hint="eastAsia" w:ascii="宋体" w:hAnsi="宋体"/>
                <w:sz w:val="24"/>
              </w:rPr>
              <w:t xml:space="preserve">（2）向甲方所在地人民法院起诉。</w:t>
            </w:r>
            <w:r/>
          </w:p>
          <w:p>
            <w:pPr>
              <w:ind w:firstLine="0"/>
              <w:jc w:val="left"/>
              <w:spacing w:line="300" w:lineRule="exact"/>
              <w:rPr>
                <w:rFonts w:hint="eastAsia" w:ascii="宋体" w:hAnsi="宋体"/>
                <w:sz w:val="24"/>
              </w:rPr>
            </w:pPr>
            <w:r>
              <w:rPr>
                <w:rFonts w:hint="eastAsia" w:ascii="宋体" w:hAnsi="宋体"/>
                <w:sz w:val="24"/>
              </w:rPr>
              <w:t xml:space="preserve">2. 纠纷解决办法</w:t>
            </w:r>
            <w:r/>
          </w:p>
          <w:p>
            <w:pPr>
              <w:ind w:firstLine="0"/>
              <w:jc w:val="left"/>
              <w:spacing w:line="300" w:lineRule="exact"/>
              <w:rPr>
                <w:rFonts w:hint="eastAsia" w:ascii="宋体" w:hAnsi="宋体"/>
                <w:sz w:val="24"/>
              </w:rPr>
            </w:pPr>
            <w:r>
              <w:rPr>
                <w:rFonts w:hint="eastAsia" w:ascii="宋体" w:hAnsi="宋体"/>
                <w:sz w:val="24"/>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t xml:space="preserve">第二节</w:t>
            </w:r>
            <w:r/>
          </w:p>
          <w:p>
            <w:pPr>
              <w:ind w:firstLine="0"/>
              <w:jc w:val="center"/>
              <w:spacing w:line="300" w:lineRule="exact"/>
              <w:rPr>
                <w:rFonts w:hint="eastAsia" w:ascii="宋体" w:hAnsi="宋体"/>
                <w:sz w:val="24"/>
              </w:rPr>
            </w:pPr>
            <w:r>
              <w:rPr>
                <w:rFonts w:hint="eastAsia" w:ascii="宋体" w:hAnsi="宋体"/>
                <w:sz w:val="24"/>
              </w:rPr>
              <w:t xml:space="preserve">第23.1款</w:t>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bCs/>
                <w:sz w:val="24"/>
              </w:rPr>
              <w:t xml:space="preserve">其他专用条款</w:t>
            </w:r>
            <w:r/>
          </w:p>
        </w:tc>
        <w:tc>
          <w:tcPr>
            <w:tcW w:w="317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ind w:firstLine="0"/>
              <w:jc w:val="left"/>
              <w:spacing w:line="300" w:lineRule="exact"/>
              <w:rPr>
                <w:rFonts w:hint="eastAsia" w:ascii="宋体" w:hAnsi="宋体"/>
                <w:sz w:val="24"/>
              </w:rPr>
            </w:pPr>
            <w:r>
              <w:rPr>
                <w:rFonts w:hint="eastAsia" w:ascii="宋体" w:hAnsi="宋体"/>
                <w:sz w:val="24"/>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ind w:firstLine="0"/>
              <w:jc w:val="left"/>
              <w:spacing w:line="300" w:lineRule="exact"/>
              <w:rPr>
                <w:rFonts w:hint="eastAsia" w:ascii="宋体" w:hAnsi="宋体"/>
                <w:sz w:val="24"/>
              </w:rPr>
            </w:pPr>
            <w:r>
              <w:rPr>
                <w:rFonts w:hint="eastAsia" w:ascii="宋体" w:hAnsi="宋体"/>
                <w:sz w:val="24"/>
              </w:rPr>
              <w:t xml:space="preserve">3.验收不合格的货物，乙方应在</w:t>
            </w:r>
            <w:r>
              <w:rPr>
                <w:rFonts w:hint="eastAsia" w:ascii="宋体" w:hAnsi="宋体"/>
                <w:sz w:val="24"/>
                <w:u w:val="single"/>
              </w:rPr>
              <w:t xml:space="preserve">10</w:t>
            </w:r>
            <w:r>
              <w:rPr>
                <w:rFonts w:hint="eastAsia" w:ascii="宋体" w:hAnsi="宋体"/>
                <w:sz w:val="24"/>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sz w:val="24"/>
                <w:u w:val="single"/>
              </w:rPr>
              <w:t xml:space="preserve">10</w:t>
            </w:r>
            <w:r>
              <w:rPr>
                <w:rFonts w:hint="eastAsia" w:ascii="宋体" w:hAnsi="宋体"/>
                <w:sz w:val="24"/>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ind w:firstLine="0"/>
              <w:jc w:val="left"/>
              <w:spacing w:line="300" w:lineRule="exact"/>
              <w:rPr>
                <w:rFonts w:hint="eastAsia" w:ascii="宋体" w:hAnsi="宋体"/>
                <w:sz w:val="24"/>
              </w:rPr>
            </w:pPr>
            <w:r>
              <w:rPr>
                <w:rFonts w:hint="eastAsia" w:ascii="宋体" w:hAnsi="宋体"/>
                <w:sz w:val="24"/>
              </w:rPr>
              <w:t xml:space="preserve">4.货物验收要求</w:t>
            </w:r>
            <w:r/>
          </w:p>
          <w:p>
            <w:pPr>
              <w:ind w:firstLine="0"/>
              <w:jc w:val="left"/>
              <w:spacing w:line="300" w:lineRule="exact"/>
              <w:rPr>
                <w:rFonts w:hint="eastAsia" w:ascii="宋体" w:hAnsi="宋体"/>
                <w:sz w:val="24"/>
              </w:rPr>
            </w:pPr>
            <w:r>
              <w:rPr>
                <w:rFonts w:hint="eastAsia" w:ascii="宋体" w:hAnsi="宋体"/>
                <w:sz w:val="24"/>
              </w:rPr>
              <w:t xml:space="preserve">（1）依照招标文件要求对全部货物、型号、规格、数量、外型、外观、包装及资料、文件（如装箱单、保修单、随箱介质等）进行验收。</w:t>
            </w:r>
            <w:r/>
          </w:p>
          <w:p>
            <w:pPr>
              <w:ind w:firstLine="0"/>
              <w:jc w:val="left"/>
              <w:spacing w:line="300" w:lineRule="exact"/>
              <w:rPr>
                <w:rFonts w:hint="eastAsia" w:ascii="宋体" w:hAnsi="宋体"/>
                <w:sz w:val="24"/>
              </w:rPr>
            </w:pPr>
            <w:r>
              <w:rPr>
                <w:rFonts w:hint="eastAsia" w:ascii="宋体" w:hAnsi="宋体"/>
                <w:sz w:val="24"/>
              </w:rPr>
              <w:t xml:space="preserve">（2）甲方与乙方对货物到货后共同进行开箱检查，出现损坏、数量不全或产品不对等问题时，由乙方负责解决。</w:t>
            </w:r>
            <w:r/>
          </w:p>
          <w:p>
            <w:pPr>
              <w:ind w:firstLine="0"/>
              <w:jc w:val="left"/>
              <w:spacing w:line="300" w:lineRule="exact"/>
              <w:rPr>
                <w:rFonts w:hint="eastAsia" w:ascii="宋体" w:hAnsi="宋体"/>
                <w:sz w:val="24"/>
              </w:rPr>
            </w:pPr>
            <w:r>
              <w:rPr>
                <w:rFonts w:hint="eastAsia" w:ascii="宋体" w:hAnsi="宋体"/>
                <w:sz w:val="24"/>
              </w:rPr>
              <w:t xml:space="preserve">（3）甲方有权从乙方所送货物中任意抽出不同型号的产品送采购人所在地的质检部门检验，如果检验合格，检验费由甲方负担；如果检验不合格，则检验费由乙方负担。</w:t>
            </w:r>
            <w:r/>
          </w:p>
          <w:p>
            <w:pPr>
              <w:ind w:firstLine="0"/>
              <w:jc w:val="left"/>
              <w:spacing w:line="300" w:lineRule="exact"/>
              <w:rPr>
                <w:rFonts w:hint="eastAsia" w:ascii="宋体" w:hAnsi="宋体"/>
                <w:sz w:val="24"/>
              </w:rPr>
            </w:pPr>
            <w:r>
              <w:rPr>
                <w:rFonts w:hint="eastAsia" w:ascii="宋体" w:hAnsi="宋体"/>
                <w:sz w:val="24"/>
              </w:rPr>
              <w:t xml:space="preserve">（4）乙方应按照本合同规定的时间、地点和方式向乙方交付货物。</w:t>
            </w:r>
            <w:r/>
          </w:p>
          <w:p>
            <w:pPr>
              <w:ind w:firstLine="0"/>
              <w:jc w:val="left"/>
              <w:spacing w:line="300" w:lineRule="exact"/>
              <w:rPr>
                <w:rFonts w:hint="eastAsia" w:ascii="宋体" w:hAnsi="宋体"/>
                <w:sz w:val="24"/>
              </w:rPr>
            </w:pPr>
            <w:r>
              <w:rPr>
                <w:rFonts w:hint="eastAsia" w:ascii="宋体" w:hAnsi="宋体"/>
                <w:sz w:val="24"/>
              </w:rPr>
              <w:t xml:space="preserve">交货时间：</w:t>
            </w:r>
            <w:r>
              <w:rPr>
                <w:rFonts w:hint="eastAsia" w:ascii="宋体" w:hAnsi="宋体"/>
                <w:sz w:val="24"/>
                <w:u w:val="single"/>
              </w:rPr>
              <w:t xml:space="preserve">          </w:t>
            </w:r>
            <w:r>
              <w:rPr>
                <w:rFonts w:hint="eastAsia" w:ascii="宋体" w:hAnsi="宋体"/>
                <w:sz w:val="24"/>
              </w:rPr>
              <w:t xml:space="preserve">日前完成供货（安装）并交付使用。</w:t>
            </w:r>
            <w:r/>
          </w:p>
          <w:p>
            <w:pPr>
              <w:ind w:firstLine="0"/>
              <w:jc w:val="left"/>
              <w:spacing w:line="300" w:lineRule="exact"/>
              <w:rPr>
                <w:rFonts w:hint="eastAsia" w:ascii="宋体" w:hAnsi="宋体"/>
                <w:sz w:val="24"/>
              </w:rPr>
            </w:pPr>
            <w:r>
              <w:rPr>
                <w:rFonts w:hint="eastAsia" w:ascii="宋体" w:hAnsi="宋体"/>
                <w:sz w:val="24"/>
              </w:rPr>
              <w:t xml:space="preserve">交货地点：</w:t>
            </w:r>
            <w:r>
              <w:rPr>
                <w:rFonts w:hint="eastAsia" w:ascii="宋体" w:hAnsi="宋体"/>
                <w:sz w:val="24"/>
                <w:u w:val="single"/>
              </w:rPr>
              <w:t xml:space="preserve">甲方指定地点</w:t>
            </w:r>
            <w:r>
              <w:rPr>
                <w:rFonts w:hint="eastAsia" w:ascii="宋体" w:hAnsi="宋体"/>
                <w:sz w:val="24"/>
              </w:rPr>
              <w:t xml:space="preserve">。</w:t>
            </w:r>
            <w:r/>
          </w:p>
          <w:p>
            <w:pPr>
              <w:ind w:firstLine="0"/>
              <w:jc w:val="left"/>
              <w:spacing w:line="300" w:lineRule="exact"/>
              <w:rPr>
                <w:rFonts w:hint="eastAsia" w:ascii="宋体" w:hAnsi="宋体"/>
                <w:sz w:val="24"/>
              </w:rPr>
            </w:pPr>
            <w:r>
              <w:rPr>
                <w:rFonts w:hint="eastAsia" w:ascii="宋体" w:hAnsi="宋体"/>
                <w:sz w:val="24"/>
              </w:rPr>
              <w:t xml:space="preserve">（5）甲方应在全部货物到货安装完毕后的</w:t>
            </w:r>
            <w:r>
              <w:rPr>
                <w:rFonts w:hint="eastAsia" w:ascii="宋体" w:hAnsi="宋体"/>
                <w:sz w:val="24"/>
                <w:u w:val="single"/>
              </w:rPr>
              <w:t xml:space="preserve">     </w:t>
            </w:r>
            <w:r>
              <w:rPr>
                <w:rFonts w:hint="eastAsia" w:ascii="宋体" w:hAnsi="宋体"/>
                <w:sz w:val="24"/>
              </w:rPr>
              <w:t xml:space="preserve">日内进行验收，验收包括：型号、规格、数量、外观是否完好，安装调试是否合格等。验收合格后甲方应在验收报告上签字盖章，初步验收合格且项目运行满</w:t>
            </w:r>
            <w:r>
              <w:rPr>
                <w:rFonts w:hint="eastAsia" w:ascii="宋体" w:hAnsi="宋体"/>
                <w:sz w:val="24"/>
                <w:u w:val="single"/>
              </w:rPr>
              <w:t xml:space="preserve">     </w:t>
            </w:r>
            <w:r>
              <w:rPr>
                <w:rFonts w:hint="eastAsia" w:ascii="宋体" w:hAnsi="宋体"/>
                <w:sz w:val="24"/>
              </w:rPr>
              <w:t xml:space="preserve">个月后，甲方组织对货物的质量及使用状况等进行最终验收。</w:t>
            </w:r>
            <w:r/>
          </w:p>
          <w:p>
            <w:pPr>
              <w:ind w:firstLine="0"/>
              <w:jc w:val="left"/>
              <w:spacing w:line="300" w:lineRule="exact"/>
              <w:rPr>
                <w:rFonts w:hint="eastAsia" w:ascii="宋体" w:hAnsi="宋体"/>
                <w:sz w:val="24"/>
              </w:rPr>
            </w:pPr>
            <w:r>
              <w:rPr>
                <w:rFonts w:hint="eastAsia" w:ascii="宋体" w:hAnsi="宋体"/>
                <w:sz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r>
            <w:r/>
          </w:p>
        </w:tc>
        <w:tc>
          <w:tcPr>
            <w:tcW w:w="839" w:type="pct"/>
            <w:vAlign w:val="center"/>
            <w:textDirection w:val="lrTb"/>
            <w:noWrap w:val="false"/>
          </w:tcPr>
          <w:p>
            <w:pPr>
              <w:ind w:firstLine="0"/>
              <w:jc w:val="left"/>
              <w:spacing w:line="300" w:lineRule="exact"/>
              <w:rPr>
                <w:rFonts w:hint="eastAsia" w:ascii="宋体" w:hAnsi="宋体"/>
                <w:bCs/>
                <w:sz w:val="24"/>
              </w:rPr>
            </w:pPr>
            <w:r>
              <w:rPr>
                <w:rFonts w:hint="eastAsia" w:ascii="宋体" w:hAnsi="宋体"/>
                <w:bCs/>
                <w:sz w:val="24"/>
              </w:rPr>
              <w:t xml:space="preserve">税费</w:t>
            </w:r>
            <w:r/>
          </w:p>
        </w:tc>
        <w:tc>
          <w:tcPr>
            <w:tcW w:w="317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1.中国政府根据现行税法规定对甲方征收的与本合同有关的一切税费均由甲方负担（免税部分除外），招标文件另有规定的除外。</w:t>
            </w:r>
            <w:r/>
          </w:p>
          <w:p>
            <w:pPr>
              <w:ind w:firstLine="0"/>
              <w:jc w:val="left"/>
              <w:spacing w:line="300" w:lineRule="exact"/>
              <w:rPr>
                <w:rFonts w:hint="eastAsia" w:ascii="宋体" w:hAnsi="宋体"/>
                <w:sz w:val="24"/>
              </w:rPr>
            </w:pPr>
            <w:r>
              <w:rPr>
                <w:rFonts w:hint="eastAsia" w:ascii="宋体" w:hAnsi="宋体"/>
                <w:sz w:val="24"/>
              </w:rPr>
              <w:t xml:space="preserve">2.中国政府根据现行税法规定对乙方征收的与本合同有关的一切税费均由乙方负担（免税部分除外）。</w:t>
            </w:r>
            <w:r/>
          </w:p>
        </w:tc>
      </w:tr>
      <w:tr>
        <w:trPr>
          <w:trHeight w:val="770"/>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r>
            <w:r/>
          </w:p>
        </w:tc>
        <w:tc>
          <w:tcPr>
            <w:tcW w:w="839" w:type="pct"/>
            <w:vAlign w:val="center"/>
            <w:textDirection w:val="lrTb"/>
            <w:noWrap w:val="false"/>
          </w:tcPr>
          <w:p>
            <w:pPr>
              <w:ind w:firstLine="0"/>
              <w:jc w:val="left"/>
              <w:spacing w:line="300" w:lineRule="exact"/>
              <w:rPr>
                <w:rFonts w:hint="eastAsia" w:ascii="宋体" w:hAnsi="宋体"/>
                <w:bCs/>
                <w:sz w:val="24"/>
              </w:rPr>
            </w:pPr>
            <w:r>
              <w:rPr>
                <w:rFonts w:hint="eastAsia" w:ascii="宋体" w:hAnsi="宋体"/>
                <w:bCs/>
                <w:sz w:val="24"/>
              </w:rPr>
              <w:t xml:space="preserve">伴随服务</w:t>
            </w:r>
            <w:r/>
          </w:p>
        </w:tc>
        <w:tc>
          <w:tcPr>
            <w:tcW w:w="317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1.乙方应按照国家</w:t>
            </w:r>
            <w:r>
              <w:rPr>
                <w:rFonts w:hint="eastAsia" w:ascii="宋体" w:hAnsi="宋体"/>
                <w:b/>
                <w:sz w:val="24"/>
              </w:rPr>
              <w:t xml:space="preserve">“新三包”</w:t>
            </w:r>
            <w:r>
              <w:rPr>
                <w:rFonts w:hint="eastAsia" w:ascii="宋体" w:hAnsi="宋体"/>
                <w:sz w:val="24"/>
              </w:rPr>
              <w:t xml:space="preserve">规定和合同中所附的服务承诺提供服务。</w:t>
            </w:r>
            <w:r/>
          </w:p>
          <w:p>
            <w:pPr>
              <w:ind w:firstLine="0"/>
              <w:jc w:val="left"/>
              <w:spacing w:line="300" w:lineRule="exact"/>
              <w:rPr>
                <w:rFonts w:hint="eastAsia" w:ascii="宋体" w:hAnsi="宋体"/>
                <w:sz w:val="24"/>
              </w:rPr>
            </w:pPr>
            <w:r>
              <w:rPr>
                <w:rFonts w:hint="eastAsia" w:ascii="宋体" w:hAnsi="宋体"/>
                <w:sz w:val="24"/>
              </w:rPr>
              <w:t xml:space="preserve">2.除第1条规定外，乙方还应提供下列服务：</w:t>
            </w:r>
            <w:r/>
          </w:p>
          <w:p>
            <w:pPr>
              <w:ind w:firstLine="0"/>
              <w:jc w:val="left"/>
              <w:spacing w:line="300" w:lineRule="exact"/>
              <w:rPr>
                <w:rFonts w:hint="eastAsia" w:ascii="宋体" w:hAnsi="宋体"/>
                <w:b/>
                <w:sz w:val="24"/>
              </w:rPr>
            </w:pPr>
            <w:r>
              <w:rPr>
                <w:rFonts w:hint="eastAsia" w:ascii="宋体" w:hAnsi="宋体"/>
                <w:b/>
                <w:sz w:val="24"/>
              </w:rPr>
              <w:t xml:space="preserve"> (1) 招标文件中的“服务要求”所规定的服务内容以及投标文件承诺提供的其他服务内容；</w:t>
            </w:r>
            <w:r/>
          </w:p>
          <w:p>
            <w:pPr>
              <w:ind w:firstLine="0"/>
              <w:jc w:val="left"/>
              <w:spacing w:line="300" w:lineRule="exact"/>
              <w:rPr>
                <w:rFonts w:hint="eastAsia" w:ascii="宋体" w:hAnsi="宋体"/>
                <w:sz w:val="24"/>
              </w:rPr>
            </w:pPr>
            <w:r>
              <w:rPr>
                <w:rFonts w:hint="eastAsia" w:ascii="宋体" w:hAnsi="宋体"/>
                <w:sz w:val="24"/>
              </w:rPr>
              <w:t xml:space="preserve"> (2) 负责货物的开孔，货物的现场安装；</w:t>
            </w:r>
            <w:r/>
          </w:p>
          <w:p>
            <w:pPr>
              <w:ind w:firstLine="0"/>
              <w:jc w:val="left"/>
              <w:spacing w:line="300" w:lineRule="exact"/>
              <w:rPr>
                <w:rFonts w:hint="eastAsia" w:ascii="宋体" w:hAnsi="宋体"/>
                <w:sz w:val="24"/>
              </w:rPr>
            </w:pPr>
            <w:r>
              <w:rPr>
                <w:rFonts w:hint="eastAsia" w:ascii="宋体" w:hAnsi="宋体"/>
                <w:sz w:val="24"/>
              </w:rPr>
              <w:t xml:space="preserve"> (3) 提供货物组装和维修所需的工具；</w:t>
            </w:r>
            <w:r/>
          </w:p>
          <w:p>
            <w:pPr>
              <w:ind w:firstLine="0"/>
              <w:jc w:val="left"/>
              <w:spacing w:line="300" w:lineRule="exact"/>
              <w:rPr>
                <w:rFonts w:hint="eastAsia" w:ascii="宋体" w:hAnsi="宋体"/>
                <w:sz w:val="24"/>
              </w:rPr>
            </w:pPr>
            <w:r>
              <w:rPr>
                <w:rFonts w:hint="eastAsia" w:ascii="宋体" w:hAnsi="宋体"/>
                <w:sz w:val="24"/>
              </w:rPr>
              <w:t xml:space="preserve"> (4) 在合同中乙方承诺的质保期限内对所提供货物正常使用实施监督、维修，但前提条件是该服务并不能免除乙方在质量保证期内应承担的义务；</w:t>
            </w:r>
            <w:r/>
          </w:p>
          <w:p>
            <w:pPr>
              <w:ind w:firstLine="0"/>
              <w:jc w:val="left"/>
              <w:spacing w:line="300" w:lineRule="exact"/>
              <w:rPr>
                <w:rFonts w:hint="eastAsia" w:ascii="宋体" w:hAnsi="宋体"/>
                <w:sz w:val="24"/>
              </w:rPr>
            </w:pPr>
            <w:r>
              <w:rPr>
                <w:rFonts w:hint="eastAsia" w:ascii="宋体" w:hAnsi="宋体"/>
                <w:sz w:val="24"/>
              </w:rPr>
              <w:t xml:space="preserve"> (5) 在货物交货现场就货物的安装、启用、维护等对甲方人员进行培训。</w:t>
            </w:r>
            <w:r/>
          </w:p>
          <w:p>
            <w:pPr>
              <w:ind w:firstLine="0"/>
              <w:jc w:val="left"/>
              <w:spacing w:line="300" w:lineRule="exact"/>
              <w:rPr>
                <w:rFonts w:hint="eastAsia" w:ascii="宋体" w:hAnsi="宋体"/>
                <w:sz w:val="24"/>
              </w:rPr>
            </w:pPr>
            <w:r>
              <w:rPr>
                <w:rFonts w:hint="eastAsia" w:ascii="宋体" w:hAnsi="宋体"/>
                <w:sz w:val="24"/>
              </w:rPr>
              <w:t xml:space="preserve">3.伴随服务的费用应含在合同价中，不单独进行支付。</w:t>
            </w:r>
            <w:r/>
          </w:p>
        </w:tc>
      </w:tr>
      <w:tr>
        <w:trPr>
          <w:trHeight w:val="770"/>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索赔</w:t>
            </w:r>
            <w:r/>
          </w:p>
          <w:p>
            <w:pPr>
              <w:ind w:firstLine="0"/>
              <w:jc w:val="left"/>
              <w:spacing w:line="300" w:lineRule="exact"/>
              <w:rPr>
                <w:rFonts w:hint="eastAsia" w:ascii="宋体" w:hAnsi="宋体"/>
                <w:sz w:val="24"/>
              </w:rPr>
            </w:pPr>
            <w:r>
              <w:rPr>
                <w:rFonts w:hint="eastAsia" w:ascii="宋体" w:hAnsi="宋体"/>
                <w:sz w:val="24"/>
              </w:rPr>
            </w:r>
            <w:r/>
          </w:p>
        </w:tc>
        <w:tc>
          <w:tcPr>
            <w:tcW w:w="317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1.甲方有权根据当地质检部门出具的检验报告，向乙方提出索赔。</w:t>
            </w:r>
            <w:r/>
          </w:p>
          <w:p>
            <w:pPr>
              <w:ind w:firstLine="0"/>
              <w:jc w:val="left"/>
              <w:spacing w:line="300" w:lineRule="exact"/>
              <w:rPr>
                <w:rFonts w:hint="eastAsia" w:ascii="宋体" w:hAnsi="宋体"/>
                <w:sz w:val="24"/>
              </w:rPr>
            </w:pPr>
            <w:r>
              <w:rPr>
                <w:rFonts w:hint="eastAsia" w:ascii="宋体" w:hAnsi="宋体"/>
                <w:sz w:val="24"/>
              </w:rPr>
              <w:t xml:space="preserve">2.根据合同规定的检验期和质量保证期内，如果乙方对甲方提出的索赔和差异负有责任，乙方应按照甲方同意的下列一种或多种方式解决索赔事宜：</w:t>
            </w:r>
            <w:r/>
          </w:p>
          <w:p>
            <w:pPr>
              <w:ind w:firstLine="0"/>
              <w:jc w:val="left"/>
              <w:spacing w:line="300" w:lineRule="exact"/>
              <w:rPr>
                <w:rFonts w:hint="eastAsia" w:ascii="宋体" w:hAnsi="宋体"/>
                <w:sz w:val="24"/>
              </w:rPr>
            </w:pPr>
            <w:r>
              <w:rPr>
                <w:rFonts w:hint="eastAsia" w:ascii="宋体" w:hAnsi="宋体"/>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ind w:firstLine="0"/>
              <w:jc w:val="left"/>
              <w:spacing w:line="300" w:lineRule="exact"/>
              <w:rPr>
                <w:rFonts w:hint="eastAsia" w:ascii="宋体" w:hAnsi="宋体"/>
                <w:sz w:val="24"/>
              </w:rPr>
            </w:pPr>
            <w:r>
              <w:rPr>
                <w:rFonts w:hint="eastAsia" w:ascii="宋体" w:hAnsi="宋体"/>
                <w:sz w:val="24"/>
              </w:rPr>
              <w:t xml:space="preserve"> (2) 根据货物的低劣程度、损坏程度以及甲方所遭受损失的数额，乙方必须降低货物的价格。</w:t>
            </w:r>
            <w:r/>
          </w:p>
          <w:p>
            <w:pPr>
              <w:ind w:firstLine="0"/>
              <w:jc w:val="left"/>
              <w:spacing w:line="300" w:lineRule="exact"/>
              <w:rPr>
                <w:rFonts w:hint="eastAsia" w:ascii="宋体" w:hAnsi="宋体"/>
                <w:sz w:val="24"/>
              </w:rPr>
            </w:pPr>
            <w:r>
              <w:rPr>
                <w:rFonts w:hint="eastAsia" w:ascii="宋体" w:hAnsi="宋体"/>
                <w:sz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ind w:firstLine="0"/>
              <w:jc w:val="left"/>
              <w:spacing w:line="300" w:lineRule="exact"/>
              <w:rPr>
                <w:rFonts w:hint="eastAsia" w:ascii="宋体" w:hAnsi="宋体"/>
                <w:sz w:val="24"/>
              </w:rPr>
            </w:pPr>
            <w:r>
              <w:rPr>
                <w:rFonts w:hint="eastAsia" w:ascii="宋体" w:hAnsi="宋体"/>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981" w:type="pct"/>
            <w:vAlign w:val="center"/>
            <w:textDirection w:val="lrTb"/>
            <w:noWrap w:val="false"/>
          </w:tcPr>
          <w:p>
            <w:pPr>
              <w:ind w:firstLine="0"/>
              <w:jc w:val="center"/>
              <w:spacing w:line="300" w:lineRule="exact"/>
              <w:rPr>
                <w:rFonts w:hint="eastAsia" w:ascii="宋体" w:hAnsi="宋体"/>
                <w:sz w:val="24"/>
              </w:rPr>
            </w:pPr>
            <w:r>
              <w:rPr>
                <w:rFonts w:hint="eastAsia" w:ascii="宋体" w:hAnsi="宋体"/>
                <w:sz w:val="24"/>
              </w:rPr>
            </w:r>
            <w:r/>
          </w:p>
        </w:tc>
        <w:tc>
          <w:tcPr>
            <w:tcW w:w="83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合同生效及其他</w:t>
            </w:r>
            <w:r/>
          </w:p>
          <w:p>
            <w:pPr>
              <w:ind w:firstLine="0"/>
              <w:jc w:val="left"/>
              <w:spacing w:line="300" w:lineRule="exact"/>
              <w:rPr>
                <w:rFonts w:hint="eastAsia" w:ascii="宋体" w:hAnsi="宋体"/>
                <w:bCs/>
                <w:sz w:val="24"/>
              </w:rPr>
            </w:pPr>
            <w:r>
              <w:rPr>
                <w:rFonts w:hint="eastAsia" w:ascii="宋体" w:hAnsi="宋体"/>
                <w:bCs/>
                <w:sz w:val="24"/>
              </w:rPr>
            </w:r>
            <w:r/>
          </w:p>
        </w:tc>
        <w:tc>
          <w:tcPr>
            <w:tcW w:w="3179" w:type="pct"/>
            <w:vAlign w:val="center"/>
            <w:textDirection w:val="lrTb"/>
            <w:noWrap w:val="false"/>
          </w:tcPr>
          <w:p>
            <w:pPr>
              <w:ind w:firstLine="0"/>
              <w:jc w:val="left"/>
              <w:spacing w:line="300" w:lineRule="exact"/>
              <w:rPr>
                <w:rFonts w:hint="eastAsia" w:ascii="宋体" w:hAnsi="宋体"/>
                <w:sz w:val="24"/>
              </w:rPr>
            </w:pPr>
            <w:r>
              <w:rPr>
                <w:rFonts w:hint="eastAsia" w:ascii="宋体" w:hAnsi="宋体"/>
                <w:sz w:val="24"/>
              </w:rPr>
              <w:t xml:space="preserve">1. 合同经甲方、乙方盖章后生效。</w:t>
            </w:r>
            <w:r/>
          </w:p>
          <w:p>
            <w:pPr>
              <w:ind w:firstLine="0"/>
              <w:jc w:val="left"/>
              <w:spacing w:line="300" w:lineRule="exact"/>
              <w:rPr>
                <w:rFonts w:hint="eastAsia" w:ascii="宋体" w:hAnsi="宋体"/>
                <w:sz w:val="24"/>
              </w:rPr>
            </w:pPr>
            <w:r>
              <w:rPr>
                <w:rFonts w:hint="eastAsia" w:ascii="宋体" w:hAnsi="宋体"/>
                <w:sz w:val="24"/>
              </w:rPr>
              <w:t xml:space="preserve">2. 货物交付使用后所发生的合同纠纷，由甲方与乙方协商处理。</w:t>
            </w:r>
            <w:r/>
          </w:p>
          <w:p>
            <w:pPr>
              <w:ind w:firstLine="0"/>
              <w:jc w:val="left"/>
              <w:spacing w:line="300" w:lineRule="exact"/>
              <w:rPr>
                <w:rFonts w:hint="eastAsia" w:ascii="宋体" w:hAnsi="宋体"/>
                <w:sz w:val="24"/>
              </w:rPr>
            </w:pPr>
            <w:r>
              <w:rPr>
                <w:rFonts w:hint="eastAsia" w:ascii="宋体" w:hAnsi="宋体"/>
                <w:sz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ind w:firstLine="0"/>
              <w:jc w:val="left"/>
              <w:spacing w:line="300" w:lineRule="exact"/>
              <w:rPr>
                <w:rFonts w:hint="eastAsia" w:ascii="宋体" w:hAnsi="宋体"/>
                <w:sz w:val="24"/>
              </w:rPr>
            </w:pPr>
            <w:r>
              <w:rPr>
                <w:rFonts w:hint="eastAsia" w:ascii="宋体" w:hAnsi="宋体"/>
                <w:sz w:val="24"/>
              </w:rPr>
              <w:t xml:space="preserve">4.本合同应按照中华人民共和国的现行法律进行解释。本合同未尽事宜，遵照</w:t>
            </w:r>
            <w:r>
              <w:rPr>
                <w:rFonts w:hint="eastAsia" w:ascii="宋体" w:hAnsi="宋体" w:eastAsia="宋体" w:cs="宋体"/>
              </w:rPr>
              <w:t xml:space="preserve">《中华人民共和国</w:t>
            </w:r>
            <w:r>
              <w:rPr>
                <w:rFonts w:hint="eastAsia" w:ascii="宋体" w:hAnsi="宋体"/>
                <w:sz w:val="24"/>
              </w:rPr>
              <w:t xml:space="preserve">民法典》、</w:t>
            </w:r>
            <w:r>
              <w:rPr>
                <w:rFonts w:hint="eastAsia" w:ascii="宋体" w:hAnsi="宋体" w:eastAsia="宋体" w:cs="宋体"/>
              </w:rPr>
              <w:t xml:space="preserve">《中华人民共和国</w:t>
            </w:r>
            <w:r>
              <w:rPr>
                <w:rFonts w:hint="eastAsia" w:ascii="宋体" w:hAnsi="宋体"/>
                <w:sz w:val="24"/>
              </w:rPr>
              <w:t xml:space="preserve">政府采购法》等有关条文执行。</w:t>
            </w:r>
            <w:r/>
          </w:p>
        </w:tc>
      </w:tr>
    </w:tbl>
    <w:p>
      <w:pPr>
        <w:pStyle w:val="682"/>
        <w:ind w:firstLine="880"/>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682"/>
        <w:ind w:firstLine="880"/>
        <w:jc w:val="center"/>
        <w:spacing w:before="120" w:beforeAutospacing="0" w:after="120" w:afterAutospacing="0" w:line="0" w:lineRule="atLeast"/>
        <w:rPr>
          <w:rFonts w:hint="eastAsia" w:ascii="黑体" w:hAnsi="宋体" w:eastAsia="黑体" w:cs="黑体"/>
          <w:sz w:val="44"/>
          <w:szCs w:val="44"/>
        </w:rPr>
      </w:pPr>
      <w:r>
        <w:rPr>
          <w:rFonts w:ascii="黑体" w:hAnsi="宋体" w:eastAsia="黑体" w:cs="黑体"/>
          <w:sz w:val="44"/>
          <w:szCs w:val="44"/>
        </w:rPr>
        <w:br w:type="page" w:clear="all"/>
      </w:r>
      <w:bookmarkEnd w:id="39"/>
      <w:r/>
      <w:bookmarkEnd w:id="40"/>
      <w:r/>
      <w:bookmarkEnd w:id="41"/>
      <w:r/>
      <w:bookmarkEnd w:id="42"/>
      <w:r/>
      <w:bookmarkEnd w:id="43"/>
      <w:r/>
      <w:bookmarkEnd w:id="44"/>
      <w:r/>
      <w:r/>
    </w:p>
    <w:p>
      <w:pPr>
        <w:pStyle w:val="682"/>
        <w:ind w:firstLine="3080"/>
        <w:jc w:val="both"/>
        <w:spacing w:beforeAutospacing="0" w:afterAutospacing="0" w:line="0" w:lineRule="atLeast"/>
        <w:rPr>
          <w:rFonts w:ascii="方正小标宋_GBK" w:hAnsi="方正小标宋_GBK" w:eastAsia="方正小标宋_GBK" w:cs="方正小标宋_GBK"/>
          <w:color w:val="000000"/>
          <w:sz w:val="44"/>
          <w:szCs w:val="44"/>
        </w:rPr>
        <w:outlineLvl w:val="0"/>
      </w:pPr>
      <w:r/>
      <w:bookmarkStart w:id="176" w:name="_Toc120614281"/>
      <w:r>
        <w:rPr>
          <w:rFonts w:hint="eastAsia" w:ascii="方正小标宋_GBK" w:hAnsi="方正小标宋_GBK" w:eastAsia="方正小标宋_GBK" w:cs="方正小标宋_GBK"/>
          <w:color w:val="000000"/>
          <w:sz w:val="44"/>
          <w:szCs w:val="44"/>
        </w:rPr>
        <w:t xml:space="preserve">第四章 </w:t>
      </w:r>
      <w:r>
        <w:rPr>
          <w:rFonts w:ascii="方正小标宋_GBK" w:hAnsi="方正小标宋_GBK" w:eastAsia="方正小标宋_GBK" w:cs="方正小标宋_GBK"/>
          <w:color w:val="000000"/>
          <w:sz w:val="44"/>
          <w:szCs w:val="44"/>
        </w:rPr>
        <w:t xml:space="preserve"> </w:t>
      </w:r>
      <w:r>
        <w:rPr>
          <w:rFonts w:hint="eastAsia" w:ascii="方正小标宋_GBK" w:hAnsi="方正小标宋_GBK" w:eastAsia="方正小标宋_GBK" w:cs="方正小标宋_GBK"/>
          <w:color w:val="000000"/>
          <w:sz w:val="44"/>
          <w:szCs w:val="44"/>
        </w:rPr>
        <w:t xml:space="preserve">采购需求</w:t>
      </w:r>
      <w:bookmarkStart w:id="177" w:name="OLE_LINK4"/>
      <w:r/>
      <w:bookmarkEnd w:id="177"/>
      <w:r/>
      <w:r/>
    </w:p>
    <w:p>
      <w:pPr>
        <w:pStyle w:val="682"/>
        <w:jc w:val="both"/>
        <w:spacing w:beforeAutospacing="0" w:afterAutospacing="0" w:line="0" w:lineRule="atLeast"/>
      </w:pPr>
      <w:r>
        <w:rPr>
          <w:rFonts w:hint="eastAsia" w:ascii="宋体" w:hAnsi="宋体" w:eastAsia="宋体" w:cs="宋体"/>
        </w:rPr>
        <w:t xml:space="preserve">项目属性：货物类项目</w:t>
      </w:r>
      <w:r/>
    </w:p>
    <w:p>
      <w:pPr>
        <w:pStyle w:val="649"/>
        <w:ind w:firstLine="0"/>
        <w:spacing w:before="0" w:beforeAutospacing="0" w:line="500" w:lineRule="exact"/>
        <w:widowControl w:val="off"/>
        <w:rPr>
          <w:rFonts w:ascii="Times New Roman" w:hAnsi="Times New Roman" w:eastAsia="宋体"/>
          <w:b/>
          <w:i w:val="0"/>
          <w:iCs/>
          <w:color w:val="000000"/>
          <w:sz w:val="24"/>
          <w:szCs w:val="24"/>
          <w:u w:val="none"/>
        </w:rPr>
      </w:pPr>
      <w:r>
        <w:rPr>
          <w:rFonts w:hint="eastAsia" w:ascii="Times New Roman" w:hAnsi="Times New Roman" w:eastAsia="宋体"/>
          <w:b/>
          <w:i w:val="0"/>
          <w:iCs/>
          <w:color w:val="000000"/>
          <w:sz w:val="24"/>
          <w:szCs w:val="24"/>
          <w:u w:val="none"/>
        </w:rPr>
        <w:t xml:space="preserve">一、</w:t>
      </w:r>
      <w:r>
        <w:rPr>
          <w:rFonts w:ascii="Times New Roman" w:hAnsi="Times New Roman" w:eastAsia="宋体"/>
          <w:b/>
          <w:i w:val="0"/>
          <w:iCs/>
          <w:color w:val="000000"/>
          <w:sz w:val="24"/>
          <w:szCs w:val="24"/>
          <w:u w:val="none"/>
        </w:rPr>
        <w:t xml:space="preserve">项目概况</w:t>
      </w:r>
      <w:r/>
    </w:p>
    <w:p>
      <w:pPr>
        <w:ind w:firstLine="480"/>
        <w:spacing w:line="500" w:lineRule="exact"/>
        <w:widowControl w:val="off"/>
        <w:rPr>
          <w:sz w:val="24"/>
        </w:rPr>
      </w:pPr>
      <w:r>
        <w:rPr>
          <w:rFonts w:hint="eastAsia"/>
          <w:sz w:val="24"/>
        </w:rPr>
        <w:t xml:space="preserve">新四军纪念馆位于江苏省盐城市，是全国唯一一座全面反映新四军历史的综合性纪念馆，是国务院公布的首批国家级抗战纪念设施、遗址，国家一级博物馆，全国重点文物保护单位，全国爱国主义教育示范基地。纪念馆建筑面积约15000平方米，展陈面积约10000平方米，馆藏文物、史料、书画作品等近18000余件（套）。1986年10月建成开放以来，累计接待国内外观众3900多万人次。</w:t>
      </w:r>
      <w:r/>
    </w:p>
    <w:p>
      <w:pPr>
        <w:ind w:firstLine="480"/>
        <w:spacing w:line="500" w:lineRule="exact"/>
        <w:widowControl w:val="off"/>
        <w:rPr>
          <w:rFonts w:cs="Times New Roman"/>
        </w:rPr>
      </w:pPr>
      <w:r>
        <w:rPr>
          <w:rFonts w:hint="eastAsia"/>
          <w:sz w:val="24"/>
        </w:rPr>
        <w:t xml:space="preserve">为全面贯彻落实“保护第一、加强管理、挖掘价值、有效利用、让文物活起来”的新时代文物工作方针，对新四军纪念馆馆藏文物预防性保护项目系统及装备进行采购，全面提升对展厅文物保存微环境的“洁净”和“稳定”控制水平。</w:t>
      </w:r>
      <w:r/>
    </w:p>
    <w:p>
      <w:pPr>
        <w:pStyle w:val="649"/>
        <w:ind w:firstLine="0"/>
        <w:spacing w:before="0" w:beforeAutospacing="0" w:line="500" w:lineRule="exact"/>
        <w:widowControl w:val="off"/>
        <w:rPr>
          <w:rFonts w:ascii="Times New Roman" w:hAnsi="Times New Roman" w:eastAsia="宋体"/>
          <w:b/>
          <w:i w:val="0"/>
          <w:iCs/>
          <w:color w:val="000000"/>
          <w:sz w:val="24"/>
          <w:szCs w:val="24"/>
          <w:u w:val="none"/>
        </w:rPr>
      </w:pPr>
      <w:r>
        <w:rPr>
          <w:rFonts w:hint="eastAsia" w:ascii="Times New Roman" w:hAnsi="Times New Roman" w:eastAsia="宋体"/>
          <w:b/>
          <w:i w:val="0"/>
          <w:iCs/>
          <w:color w:val="000000"/>
          <w:sz w:val="24"/>
          <w:szCs w:val="24"/>
          <w:u w:val="none"/>
        </w:rPr>
        <w:t xml:space="preserve">二、采购清单</w:t>
      </w:r>
      <w:r/>
    </w:p>
    <w:tbl>
      <w:tblPr>
        <w:tblStyle w:val="658"/>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6"/>
        <w:gridCol w:w="3423"/>
        <w:gridCol w:w="869"/>
        <w:gridCol w:w="1122"/>
        <w:gridCol w:w="3081"/>
      </w:tblGrid>
      <w:tr>
        <w:trPr>
          <w:trHeight w:val="810"/>
        </w:trPr>
        <w:tc>
          <w:tcPr>
            <w:tcW w:w="423" w:type="pct"/>
            <w:vAlign w:val="center"/>
            <w:textDirection w:val="lrTb"/>
            <w:noWrap w:val="false"/>
          </w:tcPr>
          <w:p>
            <w:pPr>
              <w:ind w:firstLine="0"/>
              <w:jc w:val="center"/>
              <w:rPr>
                <w:rFonts w:cs="Times New Roman"/>
                <w:b/>
                <w:bCs/>
                <w:color w:val="000000"/>
                <w:sz w:val="22"/>
                <w:szCs w:val="22"/>
              </w:rPr>
            </w:pPr>
            <w:r>
              <w:rPr>
                <w:rFonts w:cs="Times New Roman"/>
                <w:b/>
                <w:bCs/>
                <w:color w:val="000000"/>
                <w:sz w:val="22"/>
                <w:szCs w:val="22"/>
              </w:rPr>
              <w:t xml:space="preserve">序号</w:t>
            </w:r>
            <w:r/>
          </w:p>
        </w:tc>
        <w:tc>
          <w:tcPr>
            <w:tcW w:w="1843" w:type="pct"/>
            <w:vAlign w:val="center"/>
            <w:textDirection w:val="lrTb"/>
            <w:noWrap w:val="false"/>
          </w:tcPr>
          <w:p>
            <w:pPr>
              <w:ind w:firstLine="0"/>
              <w:jc w:val="center"/>
              <w:rPr>
                <w:rFonts w:cs="Times New Roman"/>
                <w:b/>
                <w:bCs/>
                <w:color w:val="000000"/>
                <w:sz w:val="22"/>
                <w:szCs w:val="22"/>
              </w:rPr>
            </w:pPr>
            <w:r>
              <w:rPr>
                <w:rFonts w:cs="Times New Roman"/>
                <w:b/>
                <w:bCs/>
                <w:color w:val="000000"/>
                <w:sz w:val="22"/>
                <w:szCs w:val="22"/>
              </w:rPr>
              <w:t xml:space="preserve">名称</w:t>
            </w:r>
            <w:r/>
          </w:p>
        </w:tc>
        <w:tc>
          <w:tcPr>
            <w:tcW w:w="468" w:type="pct"/>
            <w:vAlign w:val="center"/>
            <w:textDirection w:val="lrTb"/>
            <w:noWrap w:val="false"/>
          </w:tcPr>
          <w:p>
            <w:pPr>
              <w:ind w:firstLine="0"/>
              <w:jc w:val="center"/>
              <w:rPr>
                <w:rFonts w:cs="Times New Roman"/>
                <w:b/>
                <w:bCs/>
                <w:color w:val="000000"/>
                <w:sz w:val="22"/>
                <w:szCs w:val="22"/>
              </w:rPr>
            </w:pPr>
            <w:r>
              <w:rPr>
                <w:rFonts w:cs="Times New Roman"/>
                <w:b/>
                <w:bCs/>
                <w:color w:val="000000"/>
                <w:sz w:val="22"/>
                <w:szCs w:val="22"/>
              </w:rPr>
              <w:t xml:space="preserve">单位</w:t>
            </w:r>
            <w:r/>
          </w:p>
        </w:tc>
        <w:tc>
          <w:tcPr>
            <w:tcW w:w="604" w:type="pct"/>
            <w:vAlign w:val="center"/>
            <w:textDirection w:val="lrTb"/>
            <w:noWrap w:val="false"/>
          </w:tcPr>
          <w:p>
            <w:pPr>
              <w:ind w:firstLine="0"/>
              <w:jc w:val="center"/>
              <w:rPr>
                <w:rFonts w:cs="Times New Roman"/>
                <w:b/>
                <w:bCs/>
                <w:color w:val="000000"/>
                <w:sz w:val="22"/>
                <w:szCs w:val="22"/>
              </w:rPr>
            </w:pPr>
            <w:r>
              <w:rPr>
                <w:rFonts w:cs="Times New Roman"/>
                <w:b/>
                <w:bCs/>
                <w:color w:val="000000"/>
                <w:sz w:val="22"/>
                <w:szCs w:val="22"/>
              </w:rPr>
              <w:t xml:space="preserve">数量</w:t>
            </w:r>
            <w:r/>
          </w:p>
        </w:tc>
        <w:tc>
          <w:tcPr>
            <w:tcW w:w="1659" w:type="pct"/>
            <w:vAlign w:val="center"/>
            <w:textDirection w:val="lrTb"/>
            <w:noWrap w:val="false"/>
          </w:tcPr>
          <w:p>
            <w:pPr>
              <w:ind w:firstLine="0"/>
              <w:jc w:val="center"/>
              <w:rPr>
                <w:rFonts w:cs="Times New Roman"/>
                <w:b/>
                <w:bCs/>
                <w:color w:val="000000"/>
                <w:sz w:val="22"/>
                <w:szCs w:val="22"/>
              </w:rPr>
            </w:pPr>
            <w:r>
              <w:rPr>
                <w:rFonts w:cs="Times New Roman"/>
                <w:b/>
                <w:bCs/>
                <w:color w:val="000000"/>
                <w:sz w:val="22"/>
                <w:szCs w:val="22"/>
              </w:rPr>
              <w:t xml:space="preserve">备注</w:t>
            </w:r>
            <w:r/>
          </w:p>
        </w:tc>
      </w:tr>
      <w:tr>
        <w:trPr>
          <w:trHeight w:val="599"/>
        </w:trPr>
        <w:tc>
          <w:tcPr>
            <w:tcW w:w="423" w:type="pct"/>
            <w:vAlign w:val="center"/>
            <w:textDirection w:val="lrTb"/>
            <w:noWrap w:val="false"/>
          </w:tcPr>
          <w:p>
            <w:pPr>
              <w:ind w:firstLine="0"/>
              <w:jc w:val="center"/>
              <w:rPr>
                <w:rFonts w:cs="Times New Roman"/>
                <w:color w:val="000000"/>
                <w:sz w:val="22"/>
                <w:szCs w:val="22"/>
              </w:rPr>
            </w:pPr>
            <w:r>
              <w:rPr>
                <w:rFonts w:cs="Times New Roman"/>
                <w:color w:val="000000"/>
                <w:sz w:val="22"/>
                <w:szCs w:val="22"/>
              </w:rPr>
              <w:t xml:space="preserve">1</w:t>
            </w:r>
            <w:r/>
          </w:p>
        </w:tc>
        <w:tc>
          <w:tcPr>
            <w:tcW w:w="1843" w:type="pct"/>
            <w:vAlign w:val="center"/>
            <w:textDirection w:val="lrTb"/>
            <w:noWrap w:val="false"/>
          </w:tcPr>
          <w:p>
            <w:pPr>
              <w:ind w:firstLine="0"/>
              <w:jc w:val="left"/>
              <w:rPr>
                <w:rFonts w:cs="Times New Roman"/>
                <w:color w:val="000000"/>
                <w:sz w:val="22"/>
                <w:szCs w:val="22"/>
              </w:rPr>
            </w:pPr>
            <w:r>
              <w:rPr>
                <w:rFonts w:cs="Times New Roman"/>
                <w:color w:val="000000"/>
                <w:sz w:val="22"/>
                <w:szCs w:val="22"/>
              </w:rPr>
              <w:t xml:space="preserve">展柜密闭性改造</w:t>
            </w:r>
            <w:r/>
          </w:p>
        </w:tc>
        <w:tc>
          <w:tcPr>
            <w:tcW w:w="468" w:type="pct"/>
            <w:vAlign w:val="center"/>
            <w:textDirection w:val="lrTb"/>
            <w:noWrap/>
          </w:tcPr>
          <w:p>
            <w:pPr>
              <w:ind w:firstLine="0"/>
              <w:jc w:val="center"/>
              <w:rPr>
                <w:rFonts w:cs="Times New Roman"/>
                <w:color w:val="000000"/>
                <w:sz w:val="22"/>
                <w:szCs w:val="22"/>
              </w:rPr>
            </w:pPr>
            <w:r>
              <w:rPr>
                <w:rFonts w:cs="Times New Roman"/>
                <w:color w:val="000000"/>
                <w:sz w:val="22"/>
                <w:szCs w:val="22"/>
              </w:rPr>
              <w:t xml:space="preserve">延米</w:t>
            </w:r>
            <w:r/>
          </w:p>
        </w:tc>
        <w:tc>
          <w:tcPr>
            <w:tcW w:w="604" w:type="pct"/>
            <w:vAlign w:val="center"/>
            <w:textDirection w:val="lrTb"/>
            <w:noWrap/>
          </w:tcPr>
          <w:p>
            <w:pPr>
              <w:ind w:firstLine="0"/>
              <w:jc w:val="center"/>
              <w:rPr>
                <w:rFonts w:cs="Times New Roman"/>
                <w:color w:val="000000"/>
                <w:sz w:val="22"/>
                <w:szCs w:val="22"/>
              </w:rPr>
            </w:pPr>
            <w:r>
              <w:rPr>
                <w:rFonts w:cs="Times New Roman"/>
                <w:color w:val="000000"/>
                <w:sz w:val="22"/>
                <w:szCs w:val="22"/>
              </w:rPr>
              <w:t xml:space="preserve">88.1</w:t>
            </w:r>
            <w:r/>
          </w:p>
        </w:tc>
        <w:tc>
          <w:tcPr>
            <w:tcW w:w="1659" w:type="pct"/>
            <w:vAlign w:val="center"/>
            <w:textDirection w:val="lrTb"/>
            <w:noWrap w:val="false"/>
          </w:tcPr>
          <w:p>
            <w:pPr>
              <w:ind w:firstLine="0"/>
              <w:jc w:val="center"/>
              <w:rPr>
                <w:rFonts w:cs="Times New Roman"/>
                <w:color w:val="000000"/>
                <w:sz w:val="22"/>
                <w:szCs w:val="22"/>
              </w:rPr>
            </w:pPr>
            <w:r>
              <w:rPr>
                <w:rFonts w:cs="Times New Roman"/>
                <w:color w:val="000000"/>
                <w:sz w:val="22"/>
                <w:szCs w:val="22"/>
              </w:rPr>
            </w:r>
            <w:r/>
          </w:p>
        </w:tc>
      </w:tr>
      <w:tr>
        <w:trPr>
          <w:trHeight w:val="599"/>
        </w:trPr>
        <w:tc>
          <w:tcPr>
            <w:tcW w:w="423" w:type="pct"/>
            <w:vAlign w:val="center"/>
            <w:textDirection w:val="lrTb"/>
            <w:noWrap w:val="false"/>
          </w:tcPr>
          <w:p>
            <w:pPr>
              <w:ind w:firstLine="0"/>
              <w:jc w:val="center"/>
              <w:rPr>
                <w:rFonts w:cs="Times New Roman"/>
                <w:color w:val="000000"/>
                <w:sz w:val="22"/>
                <w:szCs w:val="22"/>
              </w:rPr>
            </w:pPr>
            <w:r>
              <w:rPr>
                <w:rFonts w:cs="Times New Roman"/>
                <w:color w:val="000000"/>
                <w:sz w:val="22"/>
                <w:szCs w:val="22"/>
              </w:rPr>
              <w:t xml:space="preserve">2</w:t>
            </w:r>
            <w:r/>
          </w:p>
        </w:tc>
        <w:tc>
          <w:tcPr>
            <w:tcW w:w="1843" w:type="pct"/>
            <w:vAlign w:val="center"/>
            <w:textDirection w:val="lrTb"/>
            <w:noWrap w:val="false"/>
          </w:tcPr>
          <w:p>
            <w:pPr>
              <w:ind w:firstLine="0"/>
              <w:jc w:val="left"/>
              <w:rPr>
                <w:rFonts w:cs="Times New Roman"/>
                <w:color w:val="000000"/>
                <w:sz w:val="22"/>
                <w:szCs w:val="22"/>
              </w:rPr>
            </w:pPr>
            <w:r>
              <w:rPr>
                <w:rFonts w:cs="Times New Roman"/>
                <w:color w:val="000000"/>
                <w:sz w:val="22"/>
                <w:szCs w:val="22"/>
              </w:rPr>
              <w:t xml:space="preserve">展柜密封性维保</w:t>
            </w:r>
            <w:r/>
          </w:p>
        </w:tc>
        <w:tc>
          <w:tcPr>
            <w:tcW w:w="468" w:type="pct"/>
            <w:vAlign w:val="center"/>
            <w:textDirection w:val="lrTb"/>
            <w:noWrap/>
          </w:tcPr>
          <w:p>
            <w:pPr>
              <w:ind w:firstLine="0"/>
              <w:jc w:val="center"/>
              <w:rPr>
                <w:rFonts w:cs="Times New Roman"/>
                <w:color w:val="000000"/>
                <w:sz w:val="22"/>
                <w:szCs w:val="22"/>
              </w:rPr>
            </w:pPr>
            <w:r>
              <w:rPr>
                <w:rFonts w:hint="eastAsia" w:cs="Times New Roman"/>
                <w:color w:val="000000"/>
                <w:sz w:val="22"/>
                <w:szCs w:val="22"/>
              </w:rPr>
              <w:t xml:space="preserve">次</w:t>
            </w:r>
            <w:r/>
          </w:p>
        </w:tc>
        <w:tc>
          <w:tcPr>
            <w:tcW w:w="604" w:type="pct"/>
            <w:vAlign w:val="center"/>
            <w:textDirection w:val="lrTb"/>
            <w:noWrap/>
          </w:tcPr>
          <w:p>
            <w:pPr>
              <w:ind w:firstLine="0"/>
              <w:jc w:val="center"/>
              <w:rPr>
                <w:rFonts w:cs="Times New Roman"/>
                <w:color w:val="000000"/>
                <w:sz w:val="22"/>
                <w:szCs w:val="22"/>
              </w:rPr>
            </w:pPr>
            <w:r>
              <w:rPr>
                <w:rFonts w:hint="eastAsia" w:cs="Times New Roman"/>
                <w:color w:val="000000"/>
                <w:sz w:val="22"/>
                <w:szCs w:val="22"/>
              </w:rPr>
              <w:t xml:space="preserve">5</w:t>
            </w:r>
            <w:r/>
          </w:p>
        </w:tc>
        <w:tc>
          <w:tcPr>
            <w:tcW w:w="1659" w:type="pct"/>
            <w:vAlign w:val="center"/>
            <w:textDirection w:val="lrTb"/>
            <w:noWrap w:val="false"/>
          </w:tcPr>
          <w:p>
            <w:pPr>
              <w:ind w:firstLine="0"/>
              <w:jc w:val="left"/>
              <w:rPr>
                <w:rFonts w:cs="Times New Roman"/>
                <w:color w:val="000000"/>
                <w:sz w:val="22"/>
                <w:szCs w:val="22"/>
              </w:rPr>
            </w:pPr>
            <w:r>
              <w:rPr>
                <w:rFonts w:hint="eastAsia" w:cs="Times New Roman"/>
                <w:color w:val="000000"/>
                <w:sz w:val="22"/>
                <w:szCs w:val="22"/>
              </w:rPr>
              <w:t xml:space="preserve">对进行</w:t>
            </w:r>
            <w:r>
              <w:rPr>
                <w:rFonts w:cs="Times New Roman"/>
                <w:color w:val="000000"/>
                <w:sz w:val="22"/>
                <w:szCs w:val="22"/>
              </w:rPr>
              <w:t xml:space="preserve">展柜密闭性改造</w:t>
            </w:r>
            <w:r>
              <w:rPr>
                <w:rFonts w:hint="eastAsia" w:cs="Times New Roman"/>
                <w:color w:val="000000"/>
                <w:sz w:val="22"/>
                <w:szCs w:val="22"/>
              </w:rPr>
              <w:t xml:space="preserve">的展柜，提供维保。</w:t>
            </w:r>
            <w:r/>
          </w:p>
        </w:tc>
      </w:tr>
      <w:tr>
        <w:trPr>
          <w:trHeight w:val="599"/>
        </w:trPr>
        <w:tc>
          <w:tcPr>
            <w:tcW w:w="423" w:type="pct"/>
            <w:vAlign w:val="center"/>
            <w:textDirection w:val="lrTb"/>
            <w:noWrap w:val="false"/>
          </w:tcPr>
          <w:p>
            <w:pPr>
              <w:ind w:firstLine="0"/>
              <w:jc w:val="center"/>
              <w:rPr>
                <w:rFonts w:cs="Times New Roman"/>
                <w:color w:val="000000"/>
                <w:sz w:val="22"/>
                <w:szCs w:val="22"/>
              </w:rPr>
            </w:pPr>
            <w:r>
              <w:rPr>
                <w:rFonts w:cs="Times New Roman"/>
                <w:color w:val="000000"/>
                <w:sz w:val="22"/>
                <w:szCs w:val="22"/>
              </w:rPr>
              <w:t xml:space="preserve">3</w:t>
            </w:r>
            <w:r/>
          </w:p>
        </w:tc>
        <w:tc>
          <w:tcPr>
            <w:tcW w:w="1843" w:type="pct"/>
            <w:vAlign w:val="center"/>
            <w:textDirection w:val="lrTb"/>
            <w:noWrap w:val="false"/>
          </w:tcPr>
          <w:p>
            <w:pPr>
              <w:ind w:firstLine="0"/>
              <w:jc w:val="left"/>
              <w:rPr>
                <w:rFonts w:cs="Times New Roman"/>
                <w:color w:val="000000"/>
                <w:sz w:val="22"/>
                <w:szCs w:val="22"/>
              </w:rPr>
            </w:pPr>
            <w:r>
              <w:rPr>
                <w:rFonts w:hint="eastAsia" w:cs="Times New Roman"/>
                <w:color w:val="000000"/>
                <w:sz w:val="22"/>
                <w:szCs w:val="22"/>
              </w:rPr>
              <w:t xml:space="preserve">◆</w:t>
            </w:r>
            <w:r>
              <w:rPr>
                <w:rFonts w:cs="Times New Roman"/>
                <w:color w:val="000000"/>
                <w:sz w:val="22"/>
                <w:szCs w:val="22"/>
              </w:rPr>
              <w:t xml:space="preserve">展柜恒湿机（小型）</w:t>
            </w:r>
            <w:r/>
          </w:p>
        </w:tc>
        <w:tc>
          <w:tcPr>
            <w:tcW w:w="468" w:type="pct"/>
            <w:vAlign w:val="center"/>
            <w:textDirection w:val="lrTb"/>
            <w:noWrap/>
          </w:tcPr>
          <w:p>
            <w:pPr>
              <w:ind w:firstLine="0"/>
              <w:jc w:val="center"/>
              <w:rPr>
                <w:rFonts w:cs="Times New Roman"/>
                <w:color w:val="000000"/>
                <w:sz w:val="22"/>
                <w:szCs w:val="22"/>
              </w:rPr>
            </w:pPr>
            <w:r>
              <w:rPr>
                <w:rFonts w:cs="Times New Roman"/>
                <w:color w:val="000000"/>
                <w:sz w:val="22"/>
                <w:szCs w:val="22"/>
              </w:rPr>
              <w:t xml:space="preserve">台</w:t>
            </w:r>
            <w:r/>
          </w:p>
        </w:tc>
        <w:tc>
          <w:tcPr>
            <w:tcW w:w="604" w:type="pct"/>
            <w:vAlign w:val="center"/>
            <w:textDirection w:val="lrTb"/>
            <w:noWrap/>
          </w:tcPr>
          <w:p>
            <w:pPr>
              <w:ind w:firstLine="0"/>
              <w:jc w:val="center"/>
              <w:rPr>
                <w:rFonts w:cs="Times New Roman"/>
                <w:color w:val="000000"/>
                <w:sz w:val="22"/>
                <w:szCs w:val="22"/>
              </w:rPr>
            </w:pPr>
            <w:r>
              <w:rPr>
                <w:rFonts w:cs="Times New Roman"/>
                <w:color w:val="000000"/>
                <w:sz w:val="22"/>
                <w:szCs w:val="22"/>
              </w:rPr>
              <w:t xml:space="preserve">30</w:t>
            </w:r>
            <w:r/>
          </w:p>
        </w:tc>
        <w:tc>
          <w:tcPr>
            <w:tcW w:w="1659" w:type="pct"/>
            <w:vAlign w:val="center"/>
            <w:textDirection w:val="lrTb"/>
            <w:noWrap w:val="false"/>
          </w:tcPr>
          <w:p>
            <w:pPr>
              <w:ind w:firstLine="0"/>
              <w:jc w:val="center"/>
              <w:rPr>
                <w:rFonts w:cs="Times New Roman"/>
                <w:color w:val="000000"/>
                <w:sz w:val="22"/>
                <w:szCs w:val="22"/>
              </w:rPr>
            </w:pPr>
            <w:r>
              <w:rPr>
                <w:rFonts w:cs="Times New Roman"/>
                <w:color w:val="000000"/>
                <w:sz w:val="22"/>
                <w:szCs w:val="22"/>
              </w:rPr>
            </w:r>
            <w:r/>
          </w:p>
        </w:tc>
      </w:tr>
      <w:tr>
        <w:trPr>
          <w:trHeight w:val="599"/>
        </w:trPr>
        <w:tc>
          <w:tcPr>
            <w:tcW w:w="423" w:type="pct"/>
            <w:vAlign w:val="center"/>
            <w:textDirection w:val="lrTb"/>
            <w:noWrap w:val="false"/>
          </w:tcPr>
          <w:p>
            <w:pPr>
              <w:ind w:firstLine="0"/>
              <w:jc w:val="center"/>
              <w:rPr>
                <w:rFonts w:cs="Times New Roman"/>
                <w:color w:val="000000"/>
                <w:sz w:val="22"/>
                <w:szCs w:val="22"/>
              </w:rPr>
            </w:pPr>
            <w:r>
              <w:rPr>
                <w:rFonts w:cs="Times New Roman"/>
                <w:color w:val="000000"/>
                <w:sz w:val="22"/>
                <w:szCs w:val="22"/>
              </w:rPr>
              <w:t xml:space="preserve">4</w:t>
            </w:r>
            <w:r/>
          </w:p>
        </w:tc>
        <w:tc>
          <w:tcPr>
            <w:tcW w:w="1843" w:type="pct"/>
            <w:vAlign w:val="center"/>
            <w:textDirection w:val="lrTb"/>
            <w:noWrap w:val="false"/>
          </w:tcPr>
          <w:p>
            <w:pPr>
              <w:ind w:firstLine="0"/>
              <w:jc w:val="left"/>
              <w:rPr>
                <w:rFonts w:cs="Times New Roman"/>
                <w:color w:val="000000"/>
                <w:sz w:val="22"/>
                <w:szCs w:val="22"/>
              </w:rPr>
            </w:pPr>
            <w:r>
              <w:rPr>
                <w:rFonts w:hint="eastAsia" w:cs="Times New Roman"/>
                <w:color w:val="000000"/>
                <w:sz w:val="22"/>
                <w:szCs w:val="22"/>
              </w:rPr>
              <w:t xml:space="preserve">◆</w:t>
            </w:r>
            <w:r>
              <w:rPr>
                <w:rFonts w:cs="Times New Roman"/>
                <w:color w:val="000000"/>
                <w:sz w:val="22"/>
                <w:szCs w:val="22"/>
              </w:rPr>
              <w:t xml:space="preserve">展柜恒湿机（大型）</w:t>
            </w:r>
            <w:r/>
          </w:p>
        </w:tc>
        <w:tc>
          <w:tcPr>
            <w:tcW w:w="468" w:type="pct"/>
            <w:vAlign w:val="center"/>
            <w:textDirection w:val="lrTb"/>
            <w:noWrap/>
          </w:tcPr>
          <w:p>
            <w:pPr>
              <w:ind w:firstLine="0"/>
              <w:jc w:val="center"/>
              <w:rPr>
                <w:rFonts w:cs="Times New Roman"/>
                <w:color w:val="000000"/>
                <w:sz w:val="22"/>
                <w:szCs w:val="22"/>
              </w:rPr>
            </w:pPr>
            <w:r>
              <w:rPr>
                <w:rFonts w:cs="Times New Roman"/>
                <w:color w:val="000000"/>
                <w:sz w:val="22"/>
                <w:szCs w:val="22"/>
              </w:rPr>
              <w:t xml:space="preserve">台</w:t>
            </w:r>
            <w:r/>
          </w:p>
        </w:tc>
        <w:tc>
          <w:tcPr>
            <w:tcW w:w="604" w:type="pct"/>
            <w:vAlign w:val="center"/>
            <w:textDirection w:val="lrTb"/>
            <w:noWrap/>
          </w:tcPr>
          <w:p>
            <w:pPr>
              <w:ind w:firstLine="0"/>
              <w:jc w:val="center"/>
              <w:rPr>
                <w:rFonts w:cs="Times New Roman"/>
                <w:color w:val="000000"/>
                <w:sz w:val="22"/>
                <w:szCs w:val="22"/>
              </w:rPr>
            </w:pPr>
            <w:r>
              <w:rPr>
                <w:rFonts w:cs="Times New Roman"/>
                <w:color w:val="000000"/>
                <w:sz w:val="22"/>
                <w:szCs w:val="22"/>
              </w:rPr>
              <w:t xml:space="preserve">14</w:t>
            </w:r>
            <w:r/>
          </w:p>
        </w:tc>
        <w:tc>
          <w:tcPr>
            <w:tcW w:w="1659" w:type="pct"/>
            <w:vAlign w:val="center"/>
            <w:textDirection w:val="lrTb"/>
            <w:noWrap w:val="false"/>
          </w:tcPr>
          <w:p>
            <w:pPr>
              <w:ind w:firstLine="0"/>
              <w:jc w:val="center"/>
              <w:rPr>
                <w:rFonts w:cs="Times New Roman"/>
                <w:color w:val="000000"/>
                <w:sz w:val="22"/>
                <w:szCs w:val="22"/>
              </w:rPr>
            </w:pPr>
            <w:r>
              <w:rPr>
                <w:rFonts w:cs="Times New Roman"/>
                <w:color w:val="000000"/>
                <w:sz w:val="22"/>
                <w:szCs w:val="22"/>
              </w:rPr>
            </w:r>
            <w:r/>
          </w:p>
        </w:tc>
      </w:tr>
      <w:tr>
        <w:trPr>
          <w:trHeight w:val="599"/>
        </w:trPr>
        <w:tc>
          <w:tcPr>
            <w:tcW w:w="423" w:type="pct"/>
            <w:vAlign w:val="center"/>
            <w:textDirection w:val="lrTb"/>
            <w:noWrap w:val="false"/>
          </w:tcPr>
          <w:p>
            <w:pPr>
              <w:ind w:firstLine="0"/>
              <w:jc w:val="center"/>
              <w:rPr>
                <w:rFonts w:cs="Times New Roman"/>
                <w:color w:val="000000"/>
                <w:sz w:val="22"/>
                <w:szCs w:val="22"/>
              </w:rPr>
            </w:pPr>
            <w:r>
              <w:rPr>
                <w:rFonts w:cs="Times New Roman"/>
                <w:color w:val="000000"/>
                <w:sz w:val="22"/>
                <w:szCs w:val="22"/>
              </w:rPr>
              <w:t xml:space="preserve">5</w:t>
            </w:r>
            <w:r/>
          </w:p>
        </w:tc>
        <w:tc>
          <w:tcPr>
            <w:tcW w:w="1843" w:type="pct"/>
            <w:vAlign w:val="center"/>
            <w:textDirection w:val="lrTb"/>
            <w:noWrap w:val="false"/>
          </w:tcPr>
          <w:p>
            <w:pPr>
              <w:ind w:firstLine="0"/>
              <w:jc w:val="left"/>
              <w:rPr>
                <w:rFonts w:cs="Times New Roman"/>
                <w:color w:val="000000"/>
                <w:sz w:val="22"/>
                <w:szCs w:val="22"/>
              </w:rPr>
            </w:pPr>
            <w:r>
              <w:rPr>
                <w:rFonts w:hint="eastAsia" w:cs="Times New Roman"/>
                <w:color w:val="000000"/>
                <w:sz w:val="22"/>
                <w:szCs w:val="22"/>
              </w:rPr>
              <w:t xml:space="preserve">◆</w:t>
            </w:r>
            <w:r>
              <w:rPr>
                <w:rFonts w:cs="Times New Roman"/>
                <w:color w:val="000000"/>
                <w:sz w:val="22"/>
                <w:szCs w:val="22"/>
              </w:rPr>
              <w:t xml:space="preserve">展柜微环境测控器</w:t>
            </w:r>
            <w:r/>
          </w:p>
        </w:tc>
        <w:tc>
          <w:tcPr>
            <w:tcW w:w="468" w:type="pct"/>
            <w:vAlign w:val="center"/>
            <w:textDirection w:val="lrTb"/>
            <w:noWrap/>
          </w:tcPr>
          <w:p>
            <w:pPr>
              <w:ind w:firstLine="0"/>
              <w:jc w:val="center"/>
              <w:rPr>
                <w:rFonts w:cs="Times New Roman"/>
                <w:color w:val="000000"/>
                <w:sz w:val="22"/>
                <w:szCs w:val="22"/>
              </w:rPr>
            </w:pPr>
            <w:r>
              <w:rPr>
                <w:rFonts w:cs="Times New Roman"/>
                <w:color w:val="000000"/>
                <w:sz w:val="22"/>
                <w:szCs w:val="22"/>
              </w:rPr>
              <w:t xml:space="preserve">台</w:t>
            </w:r>
            <w:r/>
          </w:p>
        </w:tc>
        <w:tc>
          <w:tcPr>
            <w:tcW w:w="604" w:type="pct"/>
            <w:vAlign w:val="center"/>
            <w:textDirection w:val="lrTb"/>
            <w:noWrap/>
          </w:tcPr>
          <w:p>
            <w:pPr>
              <w:ind w:firstLine="0"/>
              <w:jc w:val="center"/>
              <w:rPr>
                <w:rFonts w:cs="Times New Roman"/>
                <w:color w:val="000000"/>
                <w:sz w:val="22"/>
                <w:szCs w:val="22"/>
              </w:rPr>
            </w:pPr>
            <w:r>
              <w:rPr>
                <w:rFonts w:cs="Times New Roman"/>
                <w:color w:val="000000"/>
                <w:sz w:val="22"/>
                <w:szCs w:val="22"/>
              </w:rPr>
              <w:t xml:space="preserve">41</w:t>
            </w:r>
            <w:r/>
          </w:p>
        </w:tc>
        <w:tc>
          <w:tcPr>
            <w:tcW w:w="1659" w:type="pct"/>
            <w:vAlign w:val="center"/>
            <w:textDirection w:val="lrTb"/>
            <w:noWrap w:val="false"/>
          </w:tcPr>
          <w:p>
            <w:pPr>
              <w:ind w:firstLine="0"/>
              <w:jc w:val="center"/>
              <w:rPr>
                <w:rFonts w:cs="Times New Roman"/>
                <w:color w:val="000000"/>
                <w:sz w:val="22"/>
                <w:szCs w:val="22"/>
              </w:rPr>
            </w:pPr>
            <w:r>
              <w:rPr>
                <w:rFonts w:cs="Times New Roman"/>
                <w:color w:val="000000"/>
                <w:sz w:val="22"/>
                <w:szCs w:val="22"/>
              </w:rPr>
            </w:r>
            <w:r/>
          </w:p>
        </w:tc>
      </w:tr>
      <w:tr>
        <w:trPr>
          <w:trHeight w:val="599"/>
        </w:trPr>
        <w:tc>
          <w:tcPr>
            <w:tcW w:w="423" w:type="pct"/>
            <w:vAlign w:val="center"/>
            <w:textDirection w:val="lrTb"/>
            <w:noWrap w:val="false"/>
          </w:tcPr>
          <w:p>
            <w:pPr>
              <w:ind w:firstLine="0"/>
              <w:jc w:val="center"/>
              <w:rPr>
                <w:rFonts w:cs="Times New Roman"/>
                <w:color w:val="000000"/>
                <w:sz w:val="22"/>
                <w:szCs w:val="22"/>
              </w:rPr>
            </w:pPr>
            <w:r>
              <w:rPr>
                <w:rFonts w:cs="Times New Roman"/>
                <w:color w:val="000000"/>
                <w:sz w:val="22"/>
                <w:szCs w:val="22"/>
              </w:rPr>
              <w:t xml:space="preserve">6</w:t>
            </w:r>
            <w:r/>
          </w:p>
        </w:tc>
        <w:tc>
          <w:tcPr>
            <w:tcW w:w="1843" w:type="pct"/>
            <w:vAlign w:val="center"/>
            <w:textDirection w:val="lrTb"/>
            <w:noWrap w:val="false"/>
          </w:tcPr>
          <w:p>
            <w:pPr>
              <w:ind w:firstLine="0"/>
              <w:jc w:val="left"/>
              <w:rPr>
                <w:rFonts w:cs="Times New Roman"/>
                <w:color w:val="000000"/>
                <w:sz w:val="22"/>
                <w:szCs w:val="22"/>
              </w:rPr>
            </w:pPr>
            <w:r>
              <w:rPr>
                <w:rFonts w:cs="Times New Roman"/>
                <w:color w:val="000000"/>
                <w:sz w:val="22"/>
                <w:szCs w:val="22"/>
              </w:rPr>
              <w:t xml:space="preserve">温湿度传感器探头</w:t>
            </w:r>
            <w:r/>
          </w:p>
        </w:tc>
        <w:tc>
          <w:tcPr>
            <w:tcW w:w="468" w:type="pct"/>
            <w:vAlign w:val="center"/>
            <w:textDirection w:val="lrTb"/>
            <w:noWrap/>
          </w:tcPr>
          <w:p>
            <w:pPr>
              <w:ind w:firstLine="0"/>
              <w:jc w:val="center"/>
              <w:rPr>
                <w:rFonts w:cs="Times New Roman"/>
                <w:color w:val="000000"/>
                <w:sz w:val="22"/>
                <w:szCs w:val="22"/>
              </w:rPr>
            </w:pPr>
            <w:r>
              <w:rPr>
                <w:rFonts w:cs="Times New Roman"/>
                <w:color w:val="000000"/>
                <w:sz w:val="22"/>
                <w:szCs w:val="22"/>
              </w:rPr>
              <w:t xml:space="preserve">个</w:t>
            </w:r>
            <w:r/>
          </w:p>
        </w:tc>
        <w:tc>
          <w:tcPr>
            <w:tcW w:w="604" w:type="pct"/>
            <w:vAlign w:val="center"/>
            <w:textDirection w:val="lrTb"/>
            <w:noWrap/>
          </w:tcPr>
          <w:p>
            <w:pPr>
              <w:ind w:firstLine="0"/>
              <w:jc w:val="center"/>
              <w:rPr>
                <w:rFonts w:cs="Times New Roman"/>
                <w:color w:val="000000"/>
                <w:sz w:val="22"/>
                <w:szCs w:val="22"/>
              </w:rPr>
            </w:pPr>
            <w:r>
              <w:rPr>
                <w:rFonts w:cs="Times New Roman"/>
                <w:color w:val="000000"/>
                <w:sz w:val="22"/>
                <w:szCs w:val="22"/>
              </w:rPr>
              <w:t xml:space="preserve">44</w:t>
            </w:r>
            <w:r/>
          </w:p>
        </w:tc>
        <w:tc>
          <w:tcPr>
            <w:tcW w:w="1659" w:type="pct"/>
            <w:vAlign w:val="center"/>
            <w:textDirection w:val="lrTb"/>
            <w:noWrap w:val="false"/>
          </w:tcPr>
          <w:p>
            <w:pPr>
              <w:ind w:firstLine="0"/>
              <w:jc w:val="center"/>
              <w:rPr>
                <w:rFonts w:cs="Times New Roman"/>
                <w:color w:val="000000"/>
                <w:sz w:val="22"/>
                <w:szCs w:val="22"/>
              </w:rPr>
            </w:pPr>
            <w:r>
              <w:rPr>
                <w:rFonts w:cs="Times New Roman"/>
                <w:color w:val="000000"/>
                <w:sz w:val="22"/>
                <w:szCs w:val="22"/>
              </w:rPr>
            </w:r>
            <w:r/>
          </w:p>
        </w:tc>
      </w:tr>
      <w:tr>
        <w:trPr>
          <w:trHeight w:val="599"/>
        </w:trPr>
        <w:tc>
          <w:tcPr>
            <w:tcW w:w="423" w:type="pct"/>
            <w:vAlign w:val="center"/>
            <w:textDirection w:val="lrTb"/>
            <w:noWrap w:val="false"/>
          </w:tcPr>
          <w:p>
            <w:pPr>
              <w:ind w:firstLine="0"/>
              <w:jc w:val="center"/>
              <w:rPr>
                <w:rFonts w:cs="Times New Roman"/>
                <w:color w:val="000000"/>
                <w:sz w:val="22"/>
                <w:szCs w:val="22"/>
              </w:rPr>
            </w:pPr>
            <w:r>
              <w:rPr>
                <w:rFonts w:cs="Times New Roman"/>
                <w:color w:val="000000"/>
                <w:sz w:val="22"/>
                <w:szCs w:val="22"/>
              </w:rPr>
              <w:t xml:space="preserve">7</w:t>
            </w:r>
            <w:r/>
          </w:p>
        </w:tc>
        <w:tc>
          <w:tcPr>
            <w:tcW w:w="1843" w:type="pct"/>
            <w:vAlign w:val="center"/>
            <w:textDirection w:val="lrTb"/>
            <w:noWrap w:val="false"/>
          </w:tcPr>
          <w:p>
            <w:pPr>
              <w:ind w:firstLine="0"/>
              <w:jc w:val="left"/>
              <w:rPr>
                <w:rFonts w:cs="Times New Roman"/>
                <w:color w:val="000000"/>
                <w:sz w:val="22"/>
                <w:szCs w:val="22"/>
              </w:rPr>
            </w:pPr>
            <w:r>
              <w:rPr>
                <w:rFonts w:cs="Times New Roman"/>
                <w:color w:val="000000"/>
                <w:sz w:val="22"/>
                <w:szCs w:val="22"/>
              </w:rPr>
              <w:t xml:space="preserve">光照传感器探头</w:t>
            </w:r>
            <w:r/>
          </w:p>
        </w:tc>
        <w:tc>
          <w:tcPr>
            <w:tcW w:w="468" w:type="pct"/>
            <w:vAlign w:val="center"/>
            <w:textDirection w:val="lrTb"/>
            <w:noWrap/>
          </w:tcPr>
          <w:p>
            <w:pPr>
              <w:ind w:firstLine="0"/>
              <w:jc w:val="center"/>
              <w:rPr>
                <w:rFonts w:cs="Times New Roman"/>
                <w:color w:val="000000"/>
                <w:sz w:val="22"/>
                <w:szCs w:val="22"/>
              </w:rPr>
            </w:pPr>
            <w:r>
              <w:rPr>
                <w:rFonts w:cs="Times New Roman"/>
                <w:color w:val="000000"/>
                <w:sz w:val="22"/>
                <w:szCs w:val="22"/>
              </w:rPr>
              <w:t xml:space="preserve">个</w:t>
            </w:r>
            <w:r/>
          </w:p>
        </w:tc>
        <w:tc>
          <w:tcPr>
            <w:tcW w:w="604" w:type="pct"/>
            <w:vAlign w:val="center"/>
            <w:textDirection w:val="lrTb"/>
            <w:noWrap/>
          </w:tcPr>
          <w:p>
            <w:pPr>
              <w:ind w:firstLine="0"/>
              <w:jc w:val="center"/>
              <w:rPr>
                <w:rFonts w:cs="Times New Roman"/>
                <w:color w:val="000000"/>
                <w:sz w:val="22"/>
                <w:szCs w:val="22"/>
              </w:rPr>
            </w:pPr>
            <w:r>
              <w:rPr>
                <w:rFonts w:cs="Times New Roman"/>
                <w:color w:val="000000"/>
                <w:sz w:val="22"/>
                <w:szCs w:val="22"/>
              </w:rPr>
              <w:t xml:space="preserve">18</w:t>
            </w:r>
            <w:r/>
          </w:p>
        </w:tc>
        <w:tc>
          <w:tcPr>
            <w:tcW w:w="1659" w:type="pct"/>
            <w:vAlign w:val="center"/>
            <w:textDirection w:val="lrTb"/>
            <w:noWrap w:val="false"/>
          </w:tcPr>
          <w:p>
            <w:pPr>
              <w:ind w:firstLine="0"/>
              <w:jc w:val="center"/>
              <w:rPr>
                <w:rFonts w:cs="Times New Roman"/>
                <w:color w:val="000000"/>
                <w:sz w:val="22"/>
                <w:szCs w:val="22"/>
              </w:rPr>
            </w:pPr>
            <w:r>
              <w:rPr>
                <w:rFonts w:cs="Times New Roman"/>
                <w:color w:val="000000"/>
                <w:sz w:val="22"/>
                <w:szCs w:val="22"/>
              </w:rPr>
            </w:r>
            <w:r/>
          </w:p>
        </w:tc>
      </w:tr>
      <w:tr>
        <w:trPr>
          <w:trHeight w:val="599"/>
        </w:trPr>
        <w:tc>
          <w:tcPr>
            <w:tcW w:w="423" w:type="pct"/>
            <w:vAlign w:val="center"/>
            <w:textDirection w:val="lrTb"/>
            <w:noWrap w:val="false"/>
          </w:tcPr>
          <w:p>
            <w:pPr>
              <w:ind w:firstLine="0"/>
              <w:jc w:val="center"/>
              <w:rPr>
                <w:rFonts w:cs="Times New Roman"/>
                <w:color w:val="000000"/>
                <w:sz w:val="22"/>
                <w:szCs w:val="22"/>
              </w:rPr>
            </w:pPr>
            <w:r>
              <w:rPr>
                <w:rFonts w:cs="Times New Roman"/>
                <w:color w:val="000000"/>
                <w:sz w:val="22"/>
                <w:szCs w:val="22"/>
              </w:rPr>
              <w:t xml:space="preserve">8</w:t>
            </w:r>
            <w:r/>
          </w:p>
        </w:tc>
        <w:tc>
          <w:tcPr>
            <w:tcW w:w="1843" w:type="pct"/>
            <w:vAlign w:val="center"/>
            <w:textDirection w:val="lrTb"/>
            <w:noWrap w:val="false"/>
          </w:tcPr>
          <w:p>
            <w:pPr>
              <w:ind w:firstLine="0"/>
              <w:jc w:val="left"/>
              <w:rPr>
                <w:rFonts w:cs="Times New Roman"/>
                <w:color w:val="000000"/>
                <w:sz w:val="22"/>
                <w:szCs w:val="22"/>
              </w:rPr>
            </w:pPr>
            <w:r>
              <w:rPr>
                <w:rFonts w:cs="Times New Roman"/>
                <w:color w:val="000000"/>
                <w:sz w:val="22"/>
                <w:szCs w:val="22"/>
              </w:rPr>
              <w:t xml:space="preserve">展柜恒湿机电气安全监测模块</w:t>
            </w:r>
            <w:r/>
          </w:p>
        </w:tc>
        <w:tc>
          <w:tcPr>
            <w:tcW w:w="468" w:type="pct"/>
            <w:vAlign w:val="center"/>
            <w:textDirection w:val="lrTb"/>
            <w:noWrap/>
          </w:tcPr>
          <w:p>
            <w:pPr>
              <w:ind w:firstLine="0"/>
              <w:jc w:val="center"/>
              <w:rPr>
                <w:rFonts w:cs="Times New Roman"/>
                <w:color w:val="000000"/>
                <w:sz w:val="22"/>
                <w:szCs w:val="22"/>
              </w:rPr>
            </w:pPr>
            <w:r>
              <w:rPr>
                <w:rFonts w:cs="Times New Roman"/>
                <w:color w:val="000000"/>
                <w:sz w:val="22"/>
                <w:szCs w:val="22"/>
              </w:rPr>
              <w:t xml:space="preserve">台</w:t>
            </w:r>
            <w:r/>
          </w:p>
        </w:tc>
        <w:tc>
          <w:tcPr>
            <w:tcW w:w="604" w:type="pct"/>
            <w:vAlign w:val="center"/>
            <w:textDirection w:val="lrTb"/>
            <w:noWrap/>
          </w:tcPr>
          <w:p>
            <w:pPr>
              <w:ind w:firstLine="0"/>
              <w:jc w:val="center"/>
              <w:rPr>
                <w:rFonts w:cs="Times New Roman"/>
                <w:color w:val="000000"/>
                <w:sz w:val="22"/>
                <w:szCs w:val="22"/>
              </w:rPr>
            </w:pPr>
            <w:r>
              <w:rPr>
                <w:rFonts w:cs="Times New Roman"/>
                <w:sz w:val="22"/>
                <w:szCs w:val="22"/>
              </w:rPr>
              <w:t xml:space="preserve">44</w:t>
            </w:r>
            <w:r/>
          </w:p>
        </w:tc>
        <w:tc>
          <w:tcPr>
            <w:tcW w:w="1659" w:type="pct"/>
            <w:vAlign w:val="center"/>
            <w:textDirection w:val="lrTb"/>
            <w:noWrap w:val="false"/>
          </w:tcPr>
          <w:p>
            <w:pPr>
              <w:ind w:firstLine="0"/>
              <w:jc w:val="center"/>
              <w:rPr>
                <w:rFonts w:cs="Times New Roman"/>
                <w:color w:val="000000"/>
                <w:sz w:val="22"/>
                <w:szCs w:val="22"/>
              </w:rPr>
            </w:pPr>
            <w:r>
              <w:rPr>
                <w:rFonts w:cs="Times New Roman"/>
                <w:color w:val="000000"/>
                <w:sz w:val="22"/>
                <w:szCs w:val="22"/>
              </w:rPr>
            </w:r>
            <w:r/>
          </w:p>
        </w:tc>
      </w:tr>
      <w:tr>
        <w:trPr>
          <w:trHeight w:val="599"/>
        </w:trPr>
        <w:tc>
          <w:tcPr>
            <w:tcW w:w="423" w:type="pct"/>
            <w:vAlign w:val="center"/>
            <w:textDirection w:val="lrTb"/>
            <w:noWrap w:val="false"/>
          </w:tcPr>
          <w:p>
            <w:pPr>
              <w:ind w:firstLine="0"/>
              <w:jc w:val="center"/>
              <w:rPr>
                <w:rFonts w:cs="Times New Roman"/>
                <w:color w:val="000000"/>
                <w:sz w:val="22"/>
                <w:szCs w:val="22"/>
              </w:rPr>
            </w:pPr>
            <w:r>
              <w:rPr>
                <w:rFonts w:cs="Times New Roman"/>
                <w:color w:val="000000"/>
                <w:sz w:val="22"/>
                <w:szCs w:val="22"/>
              </w:rPr>
              <w:t xml:space="preserve">9</w:t>
            </w:r>
            <w:r/>
          </w:p>
        </w:tc>
        <w:tc>
          <w:tcPr>
            <w:tcW w:w="1843" w:type="pct"/>
            <w:vAlign w:val="center"/>
            <w:textDirection w:val="lrTb"/>
            <w:noWrap w:val="false"/>
          </w:tcPr>
          <w:p>
            <w:pPr>
              <w:ind w:firstLine="0"/>
              <w:jc w:val="left"/>
              <w:rPr>
                <w:rFonts w:cs="Times New Roman"/>
                <w:color w:val="000000"/>
                <w:sz w:val="22"/>
                <w:szCs w:val="22"/>
              </w:rPr>
            </w:pPr>
            <w:r>
              <w:rPr>
                <w:rFonts w:cs="Times New Roman"/>
                <w:color w:val="000000"/>
                <w:sz w:val="22"/>
                <w:szCs w:val="22"/>
              </w:rPr>
              <w:t xml:space="preserve">无线网关设备</w:t>
            </w:r>
            <w:r/>
          </w:p>
        </w:tc>
        <w:tc>
          <w:tcPr>
            <w:tcW w:w="468" w:type="pct"/>
            <w:vAlign w:val="center"/>
            <w:textDirection w:val="lrTb"/>
            <w:noWrap/>
          </w:tcPr>
          <w:p>
            <w:pPr>
              <w:ind w:firstLine="0"/>
              <w:jc w:val="center"/>
              <w:rPr>
                <w:rFonts w:cs="Times New Roman"/>
                <w:color w:val="000000"/>
                <w:sz w:val="22"/>
                <w:szCs w:val="22"/>
              </w:rPr>
            </w:pPr>
            <w:r>
              <w:rPr>
                <w:rFonts w:cs="Times New Roman"/>
                <w:color w:val="000000"/>
                <w:sz w:val="22"/>
                <w:szCs w:val="22"/>
              </w:rPr>
              <w:t xml:space="preserve">台</w:t>
            </w:r>
            <w:r/>
          </w:p>
        </w:tc>
        <w:tc>
          <w:tcPr>
            <w:tcW w:w="604" w:type="pct"/>
            <w:vAlign w:val="center"/>
            <w:textDirection w:val="lrTb"/>
            <w:noWrap/>
          </w:tcPr>
          <w:p>
            <w:pPr>
              <w:ind w:firstLine="0"/>
              <w:jc w:val="center"/>
              <w:rPr>
                <w:rFonts w:cs="Times New Roman"/>
                <w:color w:val="000000"/>
                <w:sz w:val="22"/>
                <w:szCs w:val="22"/>
              </w:rPr>
            </w:pPr>
            <w:r>
              <w:rPr>
                <w:rFonts w:cs="Times New Roman"/>
                <w:sz w:val="22"/>
                <w:szCs w:val="22"/>
              </w:rPr>
              <w:t xml:space="preserve">5</w:t>
            </w:r>
            <w:r/>
          </w:p>
        </w:tc>
        <w:tc>
          <w:tcPr>
            <w:tcW w:w="1659" w:type="pct"/>
            <w:vAlign w:val="center"/>
            <w:textDirection w:val="lrTb"/>
            <w:noWrap w:val="false"/>
          </w:tcPr>
          <w:p>
            <w:pPr>
              <w:ind w:firstLine="0"/>
              <w:jc w:val="center"/>
              <w:rPr>
                <w:rFonts w:cs="Times New Roman"/>
                <w:color w:val="000000"/>
                <w:sz w:val="22"/>
                <w:szCs w:val="22"/>
              </w:rPr>
            </w:pPr>
            <w:r>
              <w:rPr>
                <w:rFonts w:cs="Times New Roman"/>
                <w:color w:val="000000"/>
                <w:sz w:val="22"/>
                <w:szCs w:val="22"/>
              </w:rPr>
            </w:r>
            <w:r/>
          </w:p>
        </w:tc>
      </w:tr>
      <w:tr>
        <w:trPr>
          <w:trHeight w:val="599"/>
        </w:trPr>
        <w:tc>
          <w:tcPr>
            <w:tcW w:w="423" w:type="pct"/>
            <w:vAlign w:val="center"/>
            <w:textDirection w:val="lrTb"/>
            <w:noWrap w:val="false"/>
          </w:tcPr>
          <w:p>
            <w:pPr>
              <w:ind w:firstLine="0"/>
              <w:jc w:val="center"/>
              <w:rPr>
                <w:rFonts w:cs="Times New Roman"/>
                <w:color w:val="000000"/>
                <w:sz w:val="22"/>
                <w:szCs w:val="22"/>
              </w:rPr>
            </w:pPr>
            <w:r>
              <w:rPr>
                <w:rFonts w:cs="Times New Roman"/>
                <w:color w:val="000000"/>
                <w:sz w:val="22"/>
                <w:szCs w:val="22"/>
              </w:rPr>
              <w:t xml:space="preserve">10</w:t>
            </w:r>
            <w:r/>
          </w:p>
        </w:tc>
        <w:tc>
          <w:tcPr>
            <w:tcW w:w="1843" w:type="pct"/>
            <w:vAlign w:val="center"/>
            <w:textDirection w:val="lrTb"/>
            <w:noWrap w:val="false"/>
          </w:tcPr>
          <w:p>
            <w:pPr>
              <w:ind w:firstLine="0"/>
              <w:jc w:val="left"/>
              <w:rPr>
                <w:rFonts w:cs="Times New Roman"/>
                <w:color w:val="000000"/>
                <w:sz w:val="22"/>
                <w:szCs w:val="22"/>
              </w:rPr>
            </w:pPr>
            <w:r>
              <w:rPr>
                <w:rFonts w:cs="Times New Roman"/>
                <w:color w:val="000000"/>
                <w:sz w:val="22"/>
                <w:szCs w:val="22"/>
              </w:rPr>
              <w:t xml:space="preserve">无线中继设备</w:t>
            </w:r>
            <w:r/>
          </w:p>
        </w:tc>
        <w:tc>
          <w:tcPr>
            <w:tcW w:w="468" w:type="pct"/>
            <w:vAlign w:val="center"/>
            <w:textDirection w:val="lrTb"/>
            <w:noWrap/>
          </w:tcPr>
          <w:p>
            <w:pPr>
              <w:ind w:firstLine="0"/>
              <w:jc w:val="center"/>
              <w:rPr>
                <w:rFonts w:cs="Times New Roman"/>
                <w:color w:val="000000"/>
                <w:sz w:val="22"/>
                <w:szCs w:val="22"/>
              </w:rPr>
            </w:pPr>
            <w:r>
              <w:rPr>
                <w:rFonts w:cs="Times New Roman"/>
                <w:color w:val="000000"/>
                <w:sz w:val="22"/>
                <w:szCs w:val="22"/>
              </w:rPr>
              <w:t xml:space="preserve">台</w:t>
            </w:r>
            <w:r/>
          </w:p>
        </w:tc>
        <w:tc>
          <w:tcPr>
            <w:tcW w:w="604" w:type="pct"/>
            <w:vAlign w:val="center"/>
            <w:textDirection w:val="lrTb"/>
            <w:noWrap/>
          </w:tcPr>
          <w:p>
            <w:pPr>
              <w:ind w:firstLine="0"/>
              <w:jc w:val="center"/>
              <w:rPr>
                <w:rFonts w:cs="Times New Roman"/>
                <w:color w:val="000000"/>
                <w:sz w:val="22"/>
                <w:szCs w:val="22"/>
              </w:rPr>
            </w:pPr>
            <w:r>
              <w:rPr>
                <w:rFonts w:cs="Times New Roman"/>
                <w:sz w:val="22"/>
                <w:szCs w:val="22"/>
              </w:rPr>
              <w:t xml:space="preserve">6</w:t>
            </w:r>
            <w:r/>
          </w:p>
        </w:tc>
        <w:tc>
          <w:tcPr>
            <w:tcW w:w="1659" w:type="pct"/>
            <w:vAlign w:val="center"/>
            <w:textDirection w:val="lrTb"/>
            <w:noWrap w:val="false"/>
          </w:tcPr>
          <w:p>
            <w:pPr>
              <w:ind w:firstLine="0"/>
              <w:jc w:val="center"/>
              <w:rPr>
                <w:rFonts w:cs="Times New Roman"/>
                <w:color w:val="000000"/>
                <w:sz w:val="22"/>
                <w:szCs w:val="22"/>
              </w:rPr>
            </w:pPr>
            <w:r>
              <w:rPr>
                <w:rFonts w:cs="Times New Roman"/>
                <w:color w:val="000000"/>
                <w:sz w:val="22"/>
                <w:szCs w:val="22"/>
              </w:rPr>
            </w:r>
            <w:r/>
          </w:p>
        </w:tc>
      </w:tr>
      <w:tr>
        <w:trPr>
          <w:trHeight w:val="599"/>
        </w:trPr>
        <w:tc>
          <w:tcPr>
            <w:tcW w:w="423" w:type="pct"/>
            <w:vAlign w:val="center"/>
            <w:textDirection w:val="lrTb"/>
            <w:noWrap w:val="false"/>
          </w:tcPr>
          <w:p>
            <w:pPr>
              <w:ind w:firstLine="0"/>
              <w:jc w:val="center"/>
              <w:rPr>
                <w:rFonts w:cs="Times New Roman"/>
                <w:color w:val="000000"/>
                <w:sz w:val="22"/>
                <w:szCs w:val="22"/>
              </w:rPr>
            </w:pPr>
            <w:r>
              <w:rPr>
                <w:rFonts w:hint="eastAsia" w:cs="Times New Roman"/>
                <w:color w:val="000000"/>
                <w:sz w:val="22"/>
                <w:szCs w:val="22"/>
              </w:rPr>
              <w:t xml:space="preserve">11</w:t>
            </w:r>
            <w:r/>
          </w:p>
        </w:tc>
        <w:tc>
          <w:tcPr>
            <w:tcW w:w="1843" w:type="pct"/>
            <w:vAlign w:val="center"/>
            <w:textDirection w:val="lrTb"/>
            <w:noWrap w:val="false"/>
          </w:tcPr>
          <w:p>
            <w:pPr>
              <w:ind w:firstLine="0"/>
              <w:jc w:val="left"/>
              <w:rPr>
                <w:rFonts w:cs="Times New Roman"/>
                <w:color w:val="000000"/>
                <w:sz w:val="22"/>
                <w:szCs w:val="22"/>
              </w:rPr>
            </w:pPr>
            <w:r>
              <w:rPr>
                <w:rFonts w:cs="Times New Roman"/>
                <w:color w:val="000000"/>
                <w:sz w:val="22"/>
                <w:szCs w:val="22"/>
              </w:rPr>
              <w:t xml:space="preserve">馆藏文物环境分布式智能监控系统软件</w:t>
            </w:r>
            <w:r/>
          </w:p>
        </w:tc>
        <w:tc>
          <w:tcPr>
            <w:tcW w:w="468" w:type="pct"/>
            <w:vAlign w:val="center"/>
            <w:textDirection w:val="lrTb"/>
            <w:noWrap/>
          </w:tcPr>
          <w:p>
            <w:pPr>
              <w:ind w:firstLine="0"/>
              <w:jc w:val="center"/>
              <w:rPr>
                <w:rFonts w:cs="Times New Roman"/>
                <w:color w:val="000000"/>
                <w:sz w:val="22"/>
                <w:szCs w:val="22"/>
              </w:rPr>
            </w:pPr>
            <w:r>
              <w:rPr>
                <w:rFonts w:cs="Times New Roman"/>
                <w:sz w:val="22"/>
                <w:szCs w:val="22"/>
              </w:rPr>
              <w:t xml:space="preserve">套 </w:t>
            </w:r>
            <w:r/>
          </w:p>
        </w:tc>
        <w:tc>
          <w:tcPr>
            <w:tcW w:w="604" w:type="pct"/>
            <w:vAlign w:val="center"/>
            <w:textDirection w:val="lrTb"/>
            <w:noWrap/>
          </w:tcPr>
          <w:p>
            <w:pPr>
              <w:ind w:firstLine="0"/>
              <w:jc w:val="center"/>
              <w:rPr>
                <w:rFonts w:cs="Times New Roman"/>
                <w:color w:val="000000"/>
                <w:sz w:val="22"/>
                <w:szCs w:val="22"/>
              </w:rPr>
            </w:pPr>
            <w:r>
              <w:rPr>
                <w:rFonts w:cs="Times New Roman"/>
                <w:sz w:val="22"/>
                <w:szCs w:val="22"/>
              </w:rPr>
              <w:t xml:space="preserve">1</w:t>
            </w:r>
            <w:r/>
          </w:p>
        </w:tc>
        <w:tc>
          <w:tcPr>
            <w:tcW w:w="1659" w:type="pct"/>
            <w:vAlign w:val="center"/>
            <w:textDirection w:val="lrTb"/>
            <w:noWrap w:val="false"/>
          </w:tcPr>
          <w:p>
            <w:pPr>
              <w:ind w:firstLine="0"/>
              <w:rPr>
                <w:rFonts w:cs="Times New Roman"/>
                <w:color w:val="000000"/>
                <w:sz w:val="22"/>
                <w:szCs w:val="22"/>
              </w:rPr>
            </w:pPr>
            <w:r>
              <w:rPr>
                <w:rFonts w:cs="Times New Roman"/>
                <w:sz w:val="22"/>
                <w:szCs w:val="22"/>
              </w:rPr>
              <w:t xml:space="preserve">含系统功能软件、客户端功能软件</w:t>
            </w:r>
            <w:r/>
          </w:p>
        </w:tc>
      </w:tr>
      <w:tr>
        <w:trPr>
          <w:trHeight w:val="599"/>
        </w:trPr>
        <w:tc>
          <w:tcPr>
            <w:tcW w:w="423" w:type="pct"/>
            <w:vAlign w:val="center"/>
            <w:textDirection w:val="lrTb"/>
            <w:noWrap w:val="false"/>
          </w:tcPr>
          <w:p>
            <w:pPr>
              <w:ind w:firstLine="0"/>
              <w:jc w:val="center"/>
              <w:rPr>
                <w:rFonts w:cs="Times New Roman"/>
                <w:color w:val="000000"/>
                <w:sz w:val="22"/>
                <w:szCs w:val="22"/>
              </w:rPr>
            </w:pPr>
            <w:r>
              <w:rPr>
                <w:rFonts w:hint="eastAsia" w:cs="Times New Roman"/>
                <w:color w:val="000000"/>
                <w:sz w:val="22"/>
                <w:szCs w:val="22"/>
              </w:rPr>
              <w:t xml:space="preserve">12</w:t>
            </w:r>
            <w:r/>
          </w:p>
        </w:tc>
        <w:tc>
          <w:tcPr>
            <w:tcW w:w="1843" w:type="pct"/>
            <w:vAlign w:val="center"/>
            <w:textDirection w:val="lrTb"/>
            <w:noWrap w:val="false"/>
          </w:tcPr>
          <w:p>
            <w:pPr>
              <w:ind w:firstLine="0"/>
              <w:jc w:val="left"/>
              <w:rPr>
                <w:rFonts w:cs="Times New Roman"/>
                <w:color w:val="000000"/>
                <w:sz w:val="22"/>
                <w:szCs w:val="22"/>
              </w:rPr>
            </w:pPr>
            <w:r>
              <w:rPr>
                <w:rFonts w:cs="Times New Roman"/>
                <w:color w:val="000000"/>
                <w:sz w:val="22"/>
                <w:szCs w:val="22"/>
              </w:rPr>
              <w:t xml:space="preserve">系统维护服务</w:t>
            </w:r>
            <w:r/>
          </w:p>
        </w:tc>
        <w:tc>
          <w:tcPr>
            <w:tcW w:w="468" w:type="pct"/>
            <w:vAlign w:val="center"/>
            <w:textDirection w:val="lrTb"/>
            <w:noWrap/>
          </w:tcPr>
          <w:p>
            <w:pPr>
              <w:ind w:firstLine="0"/>
              <w:jc w:val="center"/>
              <w:rPr>
                <w:rFonts w:cs="Times New Roman"/>
                <w:color w:val="000000"/>
                <w:sz w:val="22"/>
                <w:szCs w:val="22"/>
              </w:rPr>
            </w:pPr>
            <w:r>
              <w:rPr>
                <w:rFonts w:cs="Times New Roman"/>
                <w:color w:val="000000"/>
                <w:sz w:val="22"/>
                <w:szCs w:val="22"/>
              </w:rPr>
              <w:t xml:space="preserve">项</w:t>
            </w:r>
            <w:r/>
          </w:p>
        </w:tc>
        <w:tc>
          <w:tcPr>
            <w:tcW w:w="604" w:type="pct"/>
            <w:vAlign w:val="center"/>
            <w:textDirection w:val="lrTb"/>
            <w:noWrap/>
          </w:tcPr>
          <w:p>
            <w:pPr>
              <w:ind w:firstLine="0"/>
              <w:jc w:val="center"/>
              <w:rPr>
                <w:rFonts w:cs="Times New Roman"/>
                <w:color w:val="000000"/>
                <w:sz w:val="22"/>
                <w:szCs w:val="22"/>
              </w:rPr>
            </w:pPr>
            <w:r>
              <w:rPr>
                <w:rFonts w:cs="Times New Roman"/>
                <w:color w:val="000000"/>
                <w:sz w:val="22"/>
                <w:szCs w:val="22"/>
              </w:rPr>
              <w:t xml:space="preserve">1</w:t>
            </w:r>
            <w:r/>
          </w:p>
        </w:tc>
        <w:tc>
          <w:tcPr>
            <w:tcW w:w="1659" w:type="pct"/>
            <w:vAlign w:val="center"/>
            <w:textDirection w:val="lrTb"/>
            <w:noWrap w:val="false"/>
          </w:tcPr>
          <w:p>
            <w:pPr>
              <w:ind w:firstLine="0"/>
              <w:jc w:val="center"/>
              <w:rPr>
                <w:rFonts w:cs="Times New Roman"/>
                <w:color w:val="000000"/>
                <w:sz w:val="22"/>
                <w:szCs w:val="22"/>
              </w:rPr>
            </w:pPr>
            <w:r>
              <w:rPr>
                <w:rFonts w:cs="Times New Roman"/>
                <w:color w:val="000000"/>
                <w:sz w:val="22"/>
                <w:szCs w:val="22"/>
              </w:rPr>
            </w:r>
            <w:r/>
          </w:p>
        </w:tc>
      </w:tr>
      <w:tr>
        <w:trPr>
          <w:trHeight w:val="599"/>
        </w:trPr>
        <w:tc>
          <w:tcPr>
            <w:tcW w:w="423" w:type="pct"/>
            <w:vAlign w:val="center"/>
            <w:textDirection w:val="lrTb"/>
            <w:noWrap w:val="false"/>
          </w:tcPr>
          <w:p>
            <w:pPr>
              <w:ind w:firstLine="0"/>
              <w:jc w:val="center"/>
              <w:rPr>
                <w:rFonts w:cs="Times New Roman"/>
                <w:color w:val="000000"/>
                <w:sz w:val="22"/>
                <w:szCs w:val="22"/>
              </w:rPr>
            </w:pPr>
            <w:r>
              <w:rPr>
                <w:rFonts w:hint="eastAsia" w:cs="Times New Roman"/>
                <w:color w:val="000000"/>
                <w:sz w:val="22"/>
                <w:szCs w:val="22"/>
              </w:rPr>
              <w:t xml:space="preserve">13</w:t>
            </w:r>
            <w:r/>
          </w:p>
        </w:tc>
        <w:tc>
          <w:tcPr>
            <w:tcW w:w="1843" w:type="pct"/>
            <w:vAlign w:val="center"/>
            <w:textDirection w:val="lrTb"/>
            <w:noWrap w:val="false"/>
          </w:tcPr>
          <w:p>
            <w:pPr>
              <w:ind w:firstLine="0"/>
              <w:jc w:val="left"/>
              <w:rPr>
                <w:rFonts w:cs="Times New Roman"/>
                <w:color w:val="000000"/>
                <w:sz w:val="22"/>
                <w:szCs w:val="22"/>
              </w:rPr>
            </w:pPr>
            <w:r>
              <w:rPr>
                <w:rFonts w:cs="Times New Roman"/>
                <w:color w:val="000000"/>
                <w:sz w:val="22"/>
                <w:szCs w:val="22"/>
              </w:rPr>
              <w:t xml:space="preserve">专家咨询费</w:t>
            </w:r>
            <w:r/>
          </w:p>
        </w:tc>
        <w:tc>
          <w:tcPr>
            <w:tcW w:w="468" w:type="pct"/>
            <w:vAlign w:val="center"/>
            <w:textDirection w:val="lrTb"/>
            <w:noWrap/>
          </w:tcPr>
          <w:p>
            <w:pPr>
              <w:ind w:firstLine="0"/>
              <w:jc w:val="center"/>
              <w:rPr>
                <w:rFonts w:cs="Times New Roman"/>
                <w:color w:val="000000"/>
                <w:sz w:val="22"/>
                <w:szCs w:val="22"/>
              </w:rPr>
            </w:pPr>
            <w:r>
              <w:rPr>
                <w:rFonts w:cs="Times New Roman"/>
                <w:color w:val="000000"/>
                <w:sz w:val="22"/>
                <w:szCs w:val="22"/>
              </w:rPr>
              <w:t xml:space="preserve">项</w:t>
            </w:r>
            <w:r/>
          </w:p>
        </w:tc>
        <w:tc>
          <w:tcPr>
            <w:tcW w:w="604" w:type="pct"/>
            <w:vAlign w:val="center"/>
            <w:textDirection w:val="lrTb"/>
            <w:noWrap/>
          </w:tcPr>
          <w:p>
            <w:pPr>
              <w:ind w:firstLine="0"/>
              <w:jc w:val="center"/>
              <w:rPr>
                <w:rFonts w:cs="Times New Roman"/>
                <w:color w:val="000000"/>
                <w:sz w:val="22"/>
                <w:szCs w:val="22"/>
              </w:rPr>
            </w:pPr>
            <w:r>
              <w:rPr>
                <w:rFonts w:cs="Times New Roman"/>
                <w:color w:val="000000"/>
                <w:sz w:val="22"/>
                <w:szCs w:val="22"/>
              </w:rPr>
              <w:t xml:space="preserve">1</w:t>
            </w:r>
            <w:r/>
          </w:p>
        </w:tc>
        <w:tc>
          <w:tcPr>
            <w:tcW w:w="1659" w:type="pct"/>
            <w:vAlign w:val="center"/>
            <w:textDirection w:val="lrTb"/>
            <w:noWrap w:val="false"/>
          </w:tcPr>
          <w:p>
            <w:pPr>
              <w:ind w:firstLine="0"/>
              <w:jc w:val="center"/>
              <w:rPr>
                <w:rFonts w:cs="Times New Roman"/>
                <w:color w:val="000000"/>
                <w:sz w:val="22"/>
                <w:szCs w:val="22"/>
              </w:rPr>
            </w:pPr>
            <w:r>
              <w:rPr>
                <w:rFonts w:cs="Times New Roman"/>
                <w:color w:val="000000"/>
                <w:sz w:val="22"/>
                <w:szCs w:val="22"/>
              </w:rPr>
            </w:r>
            <w:r/>
          </w:p>
        </w:tc>
      </w:tr>
      <w:tr>
        <w:trPr>
          <w:trHeight w:val="599"/>
        </w:trPr>
        <w:tc>
          <w:tcPr>
            <w:tcW w:w="423" w:type="pct"/>
            <w:vAlign w:val="center"/>
            <w:textDirection w:val="lrTb"/>
            <w:noWrap w:val="false"/>
          </w:tcPr>
          <w:p>
            <w:pPr>
              <w:ind w:firstLine="0"/>
              <w:jc w:val="center"/>
              <w:rPr>
                <w:rFonts w:cs="Times New Roman"/>
                <w:color w:val="000000"/>
                <w:sz w:val="22"/>
                <w:szCs w:val="22"/>
              </w:rPr>
            </w:pPr>
            <w:r>
              <w:rPr>
                <w:rFonts w:hint="eastAsia" w:cs="Times New Roman"/>
                <w:color w:val="000000"/>
                <w:sz w:val="22"/>
                <w:szCs w:val="22"/>
              </w:rPr>
              <w:t xml:space="preserve">14</w:t>
            </w:r>
            <w:r/>
          </w:p>
        </w:tc>
        <w:tc>
          <w:tcPr>
            <w:tcW w:w="1843" w:type="pct"/>
            <w:vAlign w:val="center"/>
            <w:textDirection w:val="lrTb"/>
            <w:noWrap w:val="false"/>
          </w:tcPr>
          <w:p>
            <w:pPr>
              <w:ind w:firstLine="0"/>
              <w:jc w:val="left"/>
              <w:rPr>
                <w:rFonts w:cs="Times New Roman"/>
                <w:color w:val="000000"/>
                <w:sz w:val="22"/>
                <w:szCs w:val="22"/>
              </w:rPr>
            </w:pPr>
            <w:r>
              <w:rPr>
                <w:rFonts w:cs="Times New Roman"/>
                <w:color w:val="000000"/>
                <w:sz w:val="22"/>
                <w:szCs w:val="22"/>
              </w:rPr>
              <w:t xml:space="preserve">资料整理和报告出版费</w:t>
            </w:r>
            <w:r/>
          </w:p>
        </w:tc>
        <w:tc>
          <w:tcPr>
            <w:tcW w:w="468" w:type="pct"/>
            <w:vAlign w:val="center"/>
            <w:textDirection w:val="lrTb"/>
            <w:noWrap/>
          </w:tcPr>
          <w:p>
            <w:pPr>
              <w:ind w:firstLine="0"/>
              <w:jc w:val="center"/>
              <w:rPr>
                <w:rFonts w:cs="Times New Roman"/>
                <w:color w:val="000000"/>
                <w:sz w:val="22"/>
                <w:szCs w:val="22"/>
              </w:rPr>
            </w:pPr>
            <w:r>
              <w:rPr>
                <w:rFonts w:cs="Times New Roman"/>
                <w:color w:val="000000"/>
                <w:sz w:val="22"/>
                <w:szCs w:val="22"/>
              </w:rPr>
              <w:t xml:space="preserve">项</w:t>
            </w:r>
            <w:r/>
          </w:p>
        </w:tc>
        <w:tc>
          <w:tcPr>
            <w:tcW w:w="604" w:type="pct"/>
            <w:vAlign w:val="center"/>
            <w:textDirection w:val="lrTb"/>
            <w:noWrap/>
          </w:tcPr>
          <w:p>
            <w:pPr>
              <w:ind w:firstLine="0"/>
              <w:jc w:val="center"/>
              <w:rPr>
                <w:rFonts w:cs="Times New Roman"/>
                <w:color w:val="000000"/>
                <w:sz w:val="22"/>
                <w:szCs w:val="22"/>
              </w:rPr>
            </w:pPr>
            <w:r>
              <w:rPr>
                <w:rFonts w:cs="Times New Roman"/>
                <w:color w:val="000000"/>
                <w:sz w:val="22"/>
                <w:szCs w:val="22"/>
              </w:rPr>
              <w:t xml:space="preserve">1</w:t>
            </w:r>
            <w:r/>
          </w:p>
        </w:tc>
        <w:tc>
          <w:tcPr>
            <w:tcW w:w="1659" w:type="pct"/>
            <w:vAlign w:val="center"/>
            <w:textDirection w:val="lrTb"/>
            <w:noWrap w:val="false"/>
          </w:tcPr>
          <w:p>
            <w:pPr>
              <w:ind w:firstLine="0"/>
              <w:jc w:val="center"/>
              <w:rPr>
                <w:rFonts w:cs="Times New Roman"/>
                <w:color w:val="000000"/>
                <w:sz w:val="22"/>
                <w:szCs w:val="22"/>
              </w:rPr>
            </w:pPr>
            <w:r>
              <w:rPr>
                <w:rFonts w:cs="Times New Roman"/>
                <w:color w:val="000000"/>
                <w:sz w:val="22"/>
                <w:szCs w:val="22"/>
              </w:rPr>
            </w:r>
            <w:r/>
          </w:p>
        </w:tc>
      </w:tr>
      <w:tr>
        <w:trPr>
          <w:trHeight w:val="599"/>
        </w:trPr>
        <w:tc>
          <w:tcPr>
            <w:tcW w:w="423" w:type="pct"/>
            <w:vAlign w:val="center"/>
            <w:textDirection w:val="lrTb"/>
            <w:noWrap w:val="false"/>
          </w:tcPr>
          <w:p>
            <w:pPr>
              <w:ind w:firstLine="0"/>
              <w:jc w:val="center"/>
              <w:rPr>
                <w:rFonts w:cs="Times New Roman"/>
                <w:color w:val="000000"/>
                <w:sz w:val="22"/>
                <w:szCs w:val="22"/>
              </w:rPr>
            </w:pPr>
            <w:r>
              <w:rPr>
                <w:rFonts w:hint="eastAsia" w:cs="Times New Roman"/>
                <w:color w:val="000000"/>
                <w:sz w:val="22"/>
                <w:szCs w:val="22"/>
              </w:rPr>
              <w:t xml:space="preserve">15</w:t>
            </w:r>
            <w:r/>
          </w:p>
        </w:tc>
        <w:tc>
          <w:tcPr>
            <w:tcW w:w="1843" w:type="pct"/>
            <w:vAlign w:val="center"/>
            <w:textDirection w:val="lrTb"/>
            <w:noWrap w:val="false"/>
          </w:tcPr>
          <w:p>
            <w:pPr>
              <w:ind w:firstLine="0"/>
              <w:jc w:val="left"/>
              <w:rPr>
                <w:rFonts w:cs="Times New Roman"/>
                <w:color w:val="000000"/>
                <w:sz w:val="22"/>
                <w:szCs w:val="22"/>
              </w:rPr>
            </w:pPr>
            <w:r>
              <w:rPr>
                <w:rFonts w:cs="Times New Roman"/>
                <w:color w:val="000000"/>
                <w:sz w:val="22"/>
                <w:szCs w:val="22"/>
              </w:rPr>
              <w:t xml:space="preserve">项目管理费</w:t>
            </w:r>
            <w:r/>
          </w:p>
        </w:tc>
        <w:tc>
          <w:tcPr>
            <w:tcW w:w="468" w:type="pct"/>
            <w:vAlign w:val="center"/>
            <w:textDirection w:val="lrTb"/>
            <w:noWrap/>
          </w:tcPr>
          <w:p>
            <w:pPr>
              <w:ind w:firstLine="0"/>
              <w:jc w:val="center"/>
              <w:rPr>
                <w:rFonts w:cs="Times New Roman"/>
                <w:color w:val="000000"/>
                <w:sz w:val="22"/>
                <w:szCs w:val="22"/>
              </w:rPr>
            </w:pPr>
            <w:r>
              <w:rPr>
                <w:rFonts w:cs="Times New Roman"/>
                <w:color w:val="000000"/>
                <w:sz w:val="22"/>
                <w:szCs w:val="22"/>
              </w:rPr>
              <w:t xml:space="preserve">项</w:t>
            </w:r>
            <w:r/>
          </w:p>
        </w:tc>
        <w:tc>
          <w:tcPr>
            <w:tcW w:w="604" w:type="pct"/>
            <w:vAlign w:val="center"/>
            <w:textDirection w:val="lrTb"/>
            <w:noWrap/>
          </w:tcPr>
          <w:p>
            <w:pPr>
              <w:ind w:firstLine="0"/>
              <w:jc w:val="center"/>
              <w:rPr>
                <w:rFonts w:cs="Times New Roman"/>
                <w:color w:val="000000"/>
                <w:sz w:val="22"/>
                <w:szCs w:val="22"/>
              </w:rPr>
            </w:pPr>
            <w:r>
              <w:rPr>
                <w:rFonts w:cs="Times New Roman"/>
                <w:color w:val="000000"/>
                <w:sz w:val="22"/>
                <w:szCs w:val="22"/>
              </w:rPr>
              <w:t xml:space="preserve">1</w:t>
            </w:r>
            <w:r/>
          </w:p>
        </w:tc>
        <w:tc>
          <w:tcPr>
            <w:tcW w:w="1659" w:type="pct"/>
            <w:vAlign w:val="center"/>
            <w:textDirection w:val="lrTb"/>
            <w:noWrap w:val="false"/>
          </w:tcPr>
          <w:p>
            <w:pPr>
              <w:ind w:firstLine="0"/>
              <w:jc w:val="center"/>
              <w:rPr>
                <w:rFonts w:cs="Times New Roman"/>
                <w:color w:val="000000"/>
                <w:sz w:val="22"/>
                <w:szCs w:val="22"/>
              </w:rPr>
            </w:pPr>
            <w:r>
              <w:rPr>
                <w:rFonts w:cs="Times New Roman"/>
                <w:color w:val="000000"/>
                <w:sz w:val="22"/>
                <w:szCs w:val="22"/>
              </w:rPr>
            </w:r>
            <w:r/>
          </w:p>
        </w:tc>
      </w:tr>
    </w:tbl>
    <w:p>
      <w:pPr>
        <w:pStyle w:val="883"/>
        <w:spacing w:line="500" w:lineRule="exact"/>
        <w:widowControl w:val="off"/>
        <w:rPr>
          <w:rFonts w:hint="eastAsia" w:ascii="宋体" w:hAnsi="宋体" w:eastAsia="宋体" w:cs="宋体"/>
          <w:b/>
          <w:bCs/>
          <w:color w:val="auto"/>
        </w:rPr>
      </w:pPr>
      <w:r>
        <w:rPr>
          <w:rFonts w:hint="eastAsia" w:ascii="宋体" w:hAnsi="宋体" w:eastAsia="宋体" w:cs="宋体"/>
          <w:b/>
          <w:bCs/>
          <w:color w:val="auto"/>
        </w:rPr>
        <w:t xml:space="preserve">注：以上标注“◆”的产品为核心产品。</w:t>
      </w:r>
      <w:r/>
    </w:p>
    <w:p>
      <w:pPr>
        <w:pStyle w:val="649"/>
        <w:ind w:firstLine="0"/>
        <w:spacing w:before="0" w:beforeAutospacing="0" w:line="500" w:lineRule="exact"/>
        <w:widowControl w:val="off"/>
        <w:rPr>
          <w:rFonts w:ascii="Times New Roman" w:hAnsi="Times New Roman" w:eastAsia="宋体"/>
          <w:b/>
          <w:i w:val="0"/>
          <w:iCs/>
          <w:color w:val="000000"/>
          <w:sz w:val="24"/>
          <w:szCs w:val="24"/>
          <w:u w:val="none"/>
        </w:rPr>
      </w:pPr>
      <w:r>
        <w:rPr>
          <w:rFonts w:hint="eastAsia" w:ascii="Times New Roman" w:hAnsi="Times New Roman" w:eastAsia="宋体"/>
          <w:b/>
          <w:i w:val="0"/>
          <w:iCs/>
          <w:color w:val="000000"/>
          <w:sz w:val="24"/>
          <w:szCs w:val="24"/>
          <w:u w:val="none"/>
        </w:rPr>
        <w:t xml:space="preserve">三、技术参数要求</w:t>
      </w:r>
      <w:r/>
    </w:p>
    <w:p>
      <w:pPr>
        <w:ind w:firstLine="480"/>
        <w:spacing w:line="500" w:lineRule="exact"/>
        <w:widowControl w:val="off"/>
        <w:rPr>
          <w:rFonts w:cs="Times New Roman"/>
          <w:b/>
          <w:bCs/>
          <w:sz w:val="24"/>
        </w:rPr>
        <w:outlineLvl w:val="2"/>
      </w:pPr>
      <w:r>
        <w:rPr>
          <w:rFonts w:hint="eastAsia" w:cs="Times New Roman"/>
          <w:b/>
          <w:bCs/>
          <w:sz w:val="24"/>
        </w:rPr>
        <w:t xml:space="preserve">1、</w:t>
      </w:r>
      <w:r>
        <w:rPr>
          <w:rFonts w:cs="Times New Roman"/>
          <w:b/>
          <w:bCs/>
          <w:sz w:val="24"/>
        </w:rPr>
        <w:t xml:space="preserve">展柜密闭性改造</w:t>
      </w:r>
      <w:r/>
    </w:p>
    <w:p>
      <w:pPr>
        <w:ind w:firstLine="480"/>
        <w:spacing w:line="500" w:lineRule="exact"/>
        <w:widowControl w:val="off"/>
        <w:rPr>
          <w:rFonts w:cs="Times New Roman"/>
          <w:sz w:val="24"/>
          <w:highlight w:val="none"/>
        </w:rPr>
      </w:pPr>
      <w:r>
        <w:rPr>
          <w:rFonts w:hint="eastAsia" w:cs="Times New Roman"/>
          <w:sz w:val="24"/>
        </w:rPr>
        <w:t xml:space="preserve">（1）拆除原有展柜底板、背板，用铝箔纸全方位包住防潮防污染，正面铺上亚麻布</w:t>
      </w:r>
      <w:r>
        <w:rPr>
          <w:rFonts w:hint="eastAsia" w:cs="Times New Roman"/>
          <w:sz w:val="24"/>
          <w:highlight w:val="none"/>
        </w:rPr>
        <w:t xml:space="preserve">，更换展柜密封胶条，玻璃与结构相接处打密封胶，增加展柜密闭性。</w:t>
      </w:r>
      <w:r/>
    </w:p>
    <w:p>
      <w:pPr>
        <w:ind w:firstLine="480"/>
        <w:spacing w:line="500" w:lineRule="exact"/>
        <w:widowControl w:val="off"/>
        <w:rPr>
          <w:rFonts w:cs="Times New Roman"/>
          <w:sz w:val="24"/>
          <w:highlight w:val="none"/>
        </w:rPr>
      </w:pPr>
      <w:r>
        <w:rPr>
          <w:rFonts w:hint="eastAsia" w:cs="Times New Roman"/>
          <w:sz w:val="24"/>
          <w:highlight w:val="none"/>
        </w:rPr>
        <w:t xml:space="preserve">（2）文物展柜的结构应尽可能密封，所有配件与展柜的连接部位也应密封。</w:t>
      </w:r>
      <w:r/>
    </w:p>
    <w:p>
      <w:pPr>
        <w:ind w:firstLine="480"/>
        <w:spacing w:line="500" w:lineRule="exact"/>
        <w:widowControl w:val="off"/>
        <w:rPr>
          <w:rFonts w:cs="Times New Roman"/>
          <w:sz w:val="24"/>
          <w:highlight w:val="none"/>
        </w:rPr>
      </w:pPr>
      <w:r>
        <w:rPr>
          <w:rFonts w:hint="eastAsia" w:cs="Times New Roman"/>
          <w:sz w:val="24"/>
          <w:highlight w:val="none"/>
        </w:rPr>
        <w:t xml:space="preserve">（3）展柜安装应严格按照水平调节，确保各部件安装的密封性。</w:t>
      </w:r>
      <w:r/>
    </w:p>
    <w:p>
      <w:pPr>
        <w:ind w:firstLine="480"/>
        <w:spacing w:line="500" w:lineRule="exact"/>
        <w:widowControl w:val="off"/>
        <w:rPr>
          <w:rFonts w:cs="Times New Roman"/>
          <w:sz w:val="24"/>
          <w:highlight w:val="none"/>
        </w:rPr>
      </w:pPr>
      <w:r>
        <w:rPr>
          <w:rFonts w:hint="eastAsia" w:cs="Times New Roman"/>
          <w:sz w:val="24"/>
          <w:highlight w:val="none"/>
        </w:rPr>
        <w:t xml:space="preserve">（4）文物展柜的外表应平整、无创伤、开裂或明显变形。</w:t>
      </w:r>
      <w:r/>
    </w:p>
    <w:p>
      <w:pPr>
        <w:ind w:firstLine="480"/>
        <w:spacing w:line="500" w:lineRule="exact"/>
        <w:widowControl w:val="off"/>
        <w:rPr>
          <w:rFonts w:cs="Times New Roman"/>
          <w:sz w:val="24"/>
          <w:highlight w:val="none"/>
        </w:rPr>
      </w:pPr>
      <w:r>
        <w:rPr>
          <w:rFonts w:hint="eastAsia" w:cs="Times New Roman"/>
          <w:sz w:val="24"/>
          <w:highlight w:val="none"/>
        </w:rPr>
        <w:t xml:space="preserve">（5）改造后的展柜进行抽检测试，测试符合GB/T36110-2018文物展柜密封性能及检测中密封展柜：0.5d-1&lt;展柜换气率≤1d-1</w:t>
      </w:r>
      <w:r>
        <w:rPr>
          <w:rFonts w:cs="Times New Roman"/>
          <w:sz w:val="24"/>
          <w:highlight w:val="none"/>
        </w:rPr>
        <w:t xml:space="preserve">。</w:t>
      </w:r>
      <w:r/>
    </w:p>
    <w:p>
      <w:pPr>
        <w:ind w:firstLine="480"/>
        <w:spacing w:line="500" w:lineRule="exact"/>
        <w:widowControl w:val="off"/>
        <w:rPr>
          <w:rFonts w:cs="Times New Roman"/>
          <w:sz w:val="24"/>
          <w:highlight w:val="none"/>
        </w:rPr>
      </w:pPr>
      <w:r>
        <w:rPr>
          <w:rFonts w:hint="eastAsia" w:cs="Times New Roman"/>
          <w:sz w:val="24"/>
          <w:highlight w:val="none"/>
        </w:rPr>
        <w:t xml:space="preserve">（6）</w:t>
      </w:r>
      <w:bookmarkStart w:id="178" w:name="OLE_LINK2"/>
      <w:r>
        <w:rPr>
          <w:rFonts w:hint="eastAsia" w:cs="Times New Roman"/>
          <w:sz w:val="24"/>
          <w:highlight w:val="none"/>
        </w:rPr>
        <w:t xml:space="preserve">在待改造的展柜中，应对其中16.9延米展柜的灯具进行改造，</w:t>
      </w:r>
      <w:bookmarkEnd w:id="178"/>
      <w:r>
        <w:rPr>
          <w:rFonts w:hint="eastAsia" w:cs="Times New Roman"/>
          <w:sz w:val="24"/>
          <w:highlight w:val="none"/>
        </w:rPr>
        <w:t xml:space="preserve">使用可调节亮度的导轨射灯，灯具分为可调照射角度与不可调照射角度两种。安装时可根据柜体的实际结构，进行灯具的调整。</w:t>
      </w:r>
      <w:r/>
    </w:p>
    <w:p>
      <w:pPr>
        <w:ind w:firstLine="480"/>
        <w:spacing w:line="500" w:lineRule="exact"/>
        <w:widowControl w:val="off"/>
        <w:rPr>
          <w:rFonts w:cs="Times New Roman"/>
          <w:b/>
          <w:bCs/>
          <w:sz w:val="24"/>
          <w:highlight w:val="none"/>
        </w:rPr>
        <w:outlineLvl w:val="2"/>
      </w:pPr>
      <w:r>
        <w:rPr>
          <w:rFonts w:hint="eastAsia" w:cs="Times New Roman"/>
          <w:b/>
          <w:bCs/>
          <w:sz w:val="24"/>
          <w:highlight w:val="none"/>
        </w:rPr>
        <w:t xml:space="preserve">2、展柜密封性维保</w:t>
      </w:r>
      <w:r/>
    </w:p>
    <w:p>
      <w:pPr>
        <w:ind w:firstLine="480"/>
        <w:spacing w:line="500" w:lineRule="exact"/>
        <w:widowControl w:val="off"/>
        <w:rPr>
          <w:rFonts w:cs="Times New Roman"/>
          <w:sz w:val="24"/>
          <w:highlight w:val="none"/>
        </w:rPr>
      </w:pPr>
      <w:r>
        <w:rPr>
          <w:rFonts w:hint="eastAsia" w:cs="Times New Roman"/>
          <w:i/>
          <w:iCs/>
          <w:sz w:val="24"/>
          <w:highlight w:val="none"/>
          <w:u w:val="single"/>
        </w:rPr>
        <w:t xml:space="preserve">对进行展柜密闭性改造的展柜，每年更换一次密封条。</w:t>
      </w:r>
      <w:r/>
    </w:p>
    <w:p>
      <w:pPr>
        <w:ind w:firstLine="480"/>
        <w:spacing w:line="500" w:lineRule="exact"/>
        <w:widowControl w:val="off"/>
        <w:rPr>
          <w:rFonts w:cs="Times New Roman"/>
          <w:b/>
          <w:bCs/>
          <w:sz w:val="24"/>
          <w:highlight w:val="none"/>
        </w:rPr>
        <w:outlineLvl w:val="2"/>
      </w:pPr>
      <w:r>
        <w:rPr>
          <w:rFonts w:hint="eastAsia" w:cs="Times New Roman"/>
          <w:b/>
          <w:bCs/>
          <w:sz w:val="24"/>
          <w:highlight w:val="none"/>
        </w:rPr>
        <w:t xml:space="preserve">3、展柜恒湿机（小型）</w:t>
      </w:r>
      <w:r/>
    </w:p>
    <w:p>
      <w:pPr>
        <w:ind w:firstLine="480"/>
        <w:spacing w:line="500" w:lineRule="exact"/>
        <w:widowControl w:val="off"/>
        <w:rPr>
          <w:rFonts w:cs="Times New Roman"/>
          <w:i/>
          <w:iCs/>
          <w:sz w:val="24"/>
          <w:highlight w:val="none"/>
          <w:u w:val="single"/>
        </w:rPr>
      </w:pPr>
      <w:r>
        <w:rPr>
          <w:rFonts w:hint="eastAsia" w:cs="Times New Roman"/>
          <w:i/>
          <w:iCs/>
          <w:sz w:val="24"/>
          <w:highlight w:val="none"/>
          <w:u w:val="single"/>
        </w:rPr>
        <w:t xml:space="preserve">（1）调控范围：湿度≥30%~70%RH，适用于不超过5m³展柜空间（展柜密闭性≤1次/天换气率）。</w:t>
      </w:r>
      <w:r/>
    </w:p>
    <w:p>
      <w:pPr>
        <w:ind w:firstLine="480"/>
        <w:spacing w:line="500" w:lineRule="exact"/>
        <w:widowControl w:val="off"/>
        <w:rPr>
          <w:rFonts w:cs="Times New Roman"/>
          <w:i/>
          <w:iCs/>
          <w:sz w:val="24"/>
          <w:highlight w:val="none"/>
          <w:u w:val="single"/>
        </w:rPr>
      </w:pPr>
      <w:r>
        <w:rPr>
          <w:rFonts w:hint="eastAsia" w:cs="Times New Roman"/>
          <w:i/>
          <w:iCs/>
          <w:sz w:val="24"/>
          <w:highlight w:val="none"/>
          <w:u w:val="single"/>
        </w:rPr>
        <w:t xml:space="preserve">（2）调控精度：≤±2%RH。</w:t>
      </w:r>
      <w:r/>
    </w:p>
    <w:p>
      <w:pPr>
        <w:ind w:firstLine="480"/>
        <w:spacing w:line="500" w:lineRule="exact"/>
        <w:widowControl w:val="off"/>
        <w:rPr>
          <w:rFonts w:cs="Times New Roman"/>
          <w:sz w:val="24"/>
          <w:highlight w:val="none"/>
        </w:rPr>
      </w:pPr>
      <w:r>
        <w:rPr>
          <w:rFonts w:hint="eastAsia" w:cs="Times New Roman"/>
          <w:sz w:val="24"/>
          <w:highlight w:val="none"/>
        </w:rPr>
        <w:t xml:space="preserve">（3）支持通过环境监测与控制的强化学习方法，完成空间湿度智能调控。</w:t>
      </w:r>
      <w:r/>
    </w:p>
    <w:p>
      <w:pPr>
        <w:ind w:firstLine="480"/>
        <w:spacing w:line="500" w:lineRule="exact"/>
        <w:widowControl w:val="off"/>
        <w:rPr>
          <w:rFonts w:cs="Times New Roman"/>
          <w:sz w:val="24"/>
          <w:highlight w:val="none"/>
        </w:rPr>
      </w:pPr>
      <w:r>
        <w:rPr>
          <w:rFonts w:hint="eastAsia" w:cs="Times New Roman"/>
          <w:sz w:val="24"/>
          <w:highlight w:val="none"/>
        </w:rPr>
        <w:t xml:space="preserve">（4）加水方式：可通过配置，实现免加水（空气取水）或通过外置水箱加水。</w:t>
      </w:r>
      <w:r/>
    </w:p>
    <w:p>
      <w:pPr>
        <w:ind w:firstLine="480"/>
        <w:spacing w:line="500" w:lineRule="exact"/>
        <w:widowControl w:val="off"/>
        <w:rPr>
          <w:rFonts w:cs="Times New Roman"/>
          <w:sz w:val="24"/>
          <w:highlight w:val="none"/>
        </w:rPr>
      </w:pPr>
      <w:r>
        <w:rPr>
          <w:rFonts w:hint="eastAsia" w:cs="Times New Roman"/>
          <w:sz w:val="24"/>
          <w:highlight w:val="none"/>
        </w:rPr>
        <w:t xml:space="preserve">（5）排水方式：免排水。</w:t>
      </w:r>
      <w:r/>
    </w:p>
    <w:p>
      <w:pPr>
        <w:ind w:firstLine="480"/>
        <w:spacing w:line="500" w:lineRule="exact"/>
        <w:widowControl w:val="off"/>
        <w:rPr>
          <w:rFonts w:cs="Times New Roman"/>
          <w:sz w:val="24"/>
          <w:highlight w:val="none"/>
        </w:rPr>
      </w:pPr>
      <w:r>
        <w:rPr>
          <w:rFonts w:hint="eastAsia" w:cs="Times New Roman"/>
          <w:sz w:val="24"/>
          <w:highlight w:val="none"/>
        </w:rPr>
        <w:t xml:space="preserve">（6）支持多机分布式扩展（一主多从）。</w:t>
      </w:r>
      <w:r/>
    </w:p>
    <w:p>
      <w:pPr>
        <w:ind w:firstLine="480"/>
        <w:spacing w:line="500" w:lineRule="exact"/>
        <w:widowControl w:val="off"/>
        <w:rPr>
          <w:rFonts w:cs="Times New Roman"/>
          <w:i/>
          <w:iCs/>
          <w:sz w:val="24"/>
          <w:highlight w:val="none"/>
          <w:u w:val="single"/>
        </w:rPr>
      </w:pPr>
      <w:r>
        <w:rPr>
          <w:rFonts w:hint="eastAsia" w:cs="Times New Roman"/>
          <w:i/>
          <w:iCs/>
          <w:sz w:val="24"/>
          <w:highlight w:val="none"/>
          <w:u w:val="single"/>
        </w:rPr>
        <w:t xml:space="preserve">（7）显示界面：≥4 英寸电容触摸屏，实时显示参数及工作状态。</w:t>
      </w:r>
      <w:r/>
    </w:p>
    <w:p>
      <w:pPr>
        <w:ind w:firstLine="480"/>
        <w:spacing w:line="500" w:lineRule="exact"/>
        <w:widowControl w:val="off"/>
        <w:rPr>
          <w:rFonts w:cs="Times New Roman"/>
          <w:sz w:val="24"/>
          <w:highlight w:val="none"/>
        </w:rPr>
      </w:pPr>
      <w:r>
        <w:rPr>
          <w:rFonts w:hint="eastAsia" w:cs="Times New Roman"/>
          <w:sz w:val="24"/>
          <w:highlight w:val="none"/>
        </w:rPr>
        <w:t xml:space="preserve">（8）出入气管：</w:t>
      </w:r>
      <w:r>
        <w:rPr>
          <w:rFonts w:hint="eastAsia" w:cs="Times New Roman"/>
          <w:sz w:val="24"/>
          <w:highlight w:val="none"/>
          <w:lang w:val="en-US" w:eastAsia="zh-CN"/>
        </w:rPr>
        <w:t xml:space="preserve">≥</w:t>
      </w:r>
      <w:r>
        <w:rPr>
          <w:rFonts w:hint="eastAsia" w:cs="Times New Roman"/>
          <w:sz w:val="24"/>
          <w:highlight w:val="none"/>
        </w:rPr>
        <w:t xml:space="preserve">DN20。</w:t>
      </w:r>
      <w:r/>
    </w:p>
    <w:p>
      <w:pPr>
        <w:ind w:firstLine="480"/>
        <w:spacing w:line="500" w:lineRule="exact"/>
        <w:widowControl w:val="off"/>
        <w:rPr>
          <w:rFonts w:cs="Times New Roman"/>
          <w:i/>
          <w:iCs/>
          <w:sz w:val="24"/>
          <w:highlight w:val="none"/>
          <w:u w:val="single"/>
        </w:rPr>
      </w:pPr>
      <w:r>
        <w:rPr>
          <w:rFonts w:hint="eastAsia" w:cs="Times New Roman"/>
          <w:i/>
          <w:iCs/>
          <w:sz w:val="24"/>
          <w:highlight w:val="none"/>
          <w:u w:val="single"/>
        </w:rPr>
        <w:t xml:space="preserve">（9）功率：最小功率≤12W，最大功率≤240W。</w:t>
      </w:r>
      <w:r/>
    </w:p>
    <w:p>
      <w:pPr>
        <w:ind w:firstLine="480"/>
        <w:spacing w:line="500" w:lineRule="exact"/>
        <w:widowControl w:val="off"/>
        <w:rPr>
          <w:rFonts w:cs="Times New Roman"/>
          <w:sz w:val="24"/>
          <w:highlight w:val="none"/>
        </w:rPr>
      </w:pPr>
      <w:r>
        <w:rPr>
          <w:rFonts w:hint="eastAsia" w:cs="Times New Roman"/>
          <w:sz w:val="24"/>
          <w:highlight w:val="none"/>
        </w:rPr>
        <w:t xml:space="preserve">（10）供电方式：DC24V。应配置独立的电源插座。</w:t>
      </w:r>
      <w:r/>
    </w:p>
    <w:p>
      <w:pPr>
        <w:ind w:firstLine="480"/>
        <w:spacing w:line="500" w:lineRule="exact"/>
        <w:widowControl w:val="off"/>
        <w:rPr>
          <w:rFonts w:cs="Times New Roman"/>
          <w:i/>
          <w:iCs/>
          <w:sz w:val="24"/>
          <w:highlight w:val="none"/>
          <w:u w:val="single"/>
        </w:rPr>
      </w:pPr>
      <w:r>
        <w:rPr>
          <w:rFonts w:hint="eastAsia" w:cs="Times New Roman"/>
          <w:i/>
          <w:iCs/>
          <w:sz w:val="24"/>
          <w:highlight w:val="none"/>
          <w:u w:val="single"/>
        </w:rPr>
        <w:t xml:space="preserve">（11）工作环境：≥5～40℃。</w:t>
      </w:r>
      <w:r/>
    </w:p>
    <w:p>
      <w:pPr>
        <w:ind w:firstLine="480"/>
        <w:spacing w:line="500" w:lineRule="exact"/>
        <w:widowControl w:val="off"/>
        <w:rPr>
          <w:rFonts w:cs="Times New Roman"/>
          <w:i/>
          <w:iCs/>
          <w:sz w:val="24"/>
          <w:highlight w:val="none"/>
          <w:u w:val="single"/>
        </w:rPr>
      </w:pPr>
      <w:r>
        <w:rPr>
          <w:rFonts w:hint="eastAsia" w:cs="Times New Roman"/>
          <w:i/>
          <w:iCs/>
          <w:sz w:val="24"/>
          <w:highlight w:val="none"/>
          <w:u w:val="single"/>
        </w:rPr>
        <w:t xml:space="preserve">（12）存储环境：≥-10～50℃，0%～95% RH（无凝露）。</w:t>
      </w:r>
      <w:r/>
    </w:p>
    <w:p>
      <w:pPr>
        <w:ind w:firstLine="480"/>
        <w:spacing w:line="500" w:lineRule="exact"/>
        <w:widowControl w:val="off"/>
        <w:rPr>
          <w:rFonts w:cs="Times New Roman"/>
          <w:i/>
          <w:iCs/>
          <w:sz w:val="24"/>
          <w:highlight w:val="none"/>
          <w:u w:val="single"/>
        </w:rPr>
      </w:pPr>
      <w:r>
        <w:rPr>
          <w:rFonts w:hint="eastAsia" w:cs="Times New Roman"/>
          <w:i/>
          <w:iCs/>
          <w:sz w:val="24"/>
          <w:highlight w:val="none"/>
          <w:u w:val="single"/>
        </w:rPr>
        <w:t xml:space="preserve">（13）重量：≤10kg。</w:t>
      </w:r>
      <w:r/>
    </w:p>
    <w:p>
      <w:pPr>
        <w:ind w:firstLine="480"/>
        <w:spacing w:line="500" w:lineRule="exact"/>
        <w:widowControl w:val="off"/>
        <w:rPr>
          <w:rFonts w:cs="Times New Roman"/>
          <w:i/>
          <w:iCs/>
          <w:sz w:val="24"/>
          <w:highlight w:val="none"/>
          <w:u w:val="single"/>
        </w:rPr>
      </w:pPr>
      <w:r>
        <w:rPr>
          <w:rFonts w:hint="eastAsia" w:cs="Times New Roman"/>
          <w:i/>
          <w:iCs/>
          <w:sz w:val="24"/>
          <w:highlight w:val="none"/>
          <w:u w:val="single"/>
        </w:rPr>
        <w:t xml:space="preserve">（14）通信可靠性≥99. 9 %。</w:t>
      </w:r>
      <w:r/>
    </w:p>
    <w:p>
      <w:pPr>
        <w:ind w:firstLine="480"/>
        <w:spacing w:line="500" w:lineRule="exact"/>
        <w:widowControl w:val="off"/>
        <w:rPr>
          <w:rFonts w:cs="Times New Roman"/>
          <w:sz w:val="24"/>
          <w:highlight w:val="none"/>
        </w:rPr>
      </w:pPr>
      <w:r>
        <w:rPr>
          <w:rFonts w:hint="eastAsia" w:cs="Times New Roman"/>
          <w:sz w:val="24"/>
          <w:highlight w:val="none"/>
        </w:rPr>
        <w:t xml:space="preserve">（15）▲支持多种通信协议和接口，包括：以太网、4G、433MHz。</w:t>
      </w:r>
      <w:r/>
    </w:p>
    <w:p>
      <w:pPr>
        <w:ind w:firstLine="480"/>
        <w:spacing w:line="500" w:lineRule="exact"/>
        <w:widowControl w:val="off"/>
        <w:rPr>
          <w:rFonts w:cs="Times New Roman"/>
          <w:sz w:val="24"/>
          <w:highlight w:val="none"/>
        </w:rPr>
      </w:pPr>
      <w:r>
        <w:rPr>
          <w:rFonts w:hint="eastAsia" w:cs="Times New Roman"/>
          <w:sz w:val="24"/>
          <w:highlight w:val="none"/>
        </w:rPr>
        <w:t xml:space="preserve">（16）▲设备支持通过三种及以上加密算法对上行和下行数据链路数据进行加密、解密。</w:t>
      </w:r>
      <w:r/>
    </w:p>
    <w:p>
      <w:pPr>
        <w:ind w:firstLine="480"/>
        <w:spacing w:line="500" w:lineRule="exact"/>
        <w:widowControl w:val="off"/>
        <w:rPr>
          <w:rFonts w:cs="Times New Roman"/>
          <w:sz w:val="24"/>
          <w:highlight w:val="none"/>
        </w:rPr>
      </w:pPr>
      <w:r>
        <w:rPr>
          <w:rFonts w:hint="eastAsia" w:cs="Times New Roman"/>
          <w:sz w:val="24"/>
          <w:highlight w:val="none"/>
        </w:rPr>
        <w:t xml:space="preserve">（17）设备支持通过本地触摸屏、蓝牙通信接口、远程服务器进行参数配置。</w:t>
      </w:r>
      <w:r/>
    </w:p>
    <w:p>
      <w:pPr>
        <w:ind w:firstLine="480"/>
        <w:spacing w:line="500" w:lineRule="exact"/>
        <w:widowControl w:val="off"/>
        <w:rPr>
          <w:rFonts w:cs="Times New Roman"/>
          <w:sz w:val="24"/>
          <w:highlight w:val="none"/>
        </w:rPr>
      </w:pPr>
      <w:r>
        <w:rPr>
          <w:rFonts w:hint="eastAsia" w:cs="Times New Roman"/>
          <w:sz w:val="24"/>
          <w:highlight w:val="none"/>
        </w:rPr>
        <w:t xml:space="preserve">（18）▲设备支持配置的参数应包括：设备加湿模式（有水或无水）、启停、目标湿度等。</w:t>
      </w:r>
      <w:r/>
    </w:p>
    <w:p>
      <w:pPr>
        <w:ind w:firstLine="480"/>
        <w:spacing w:line="500" w:lineRule="exact"/>
        <w:widowControl w:val="off"/>
        <w:rPr>
          <w:rFonts w:cs="Times New Roman"/>
          <w:sz w:val="24"/>
          <w:highlight w:val="none"/>
        </w:rPr>
      </w:pPr>
      <w:r>
        <w:rPr>
          <w:rFonts w:hint="eastAsia" w:cs="Times New Roman"/>
          <w:sz w:val="24"/>
          <w:highlight w:val="none"/>
        </w:rPr>
        <w:t xml:space="preserve">（19）▲设备支持通过标准的现场总线通讯接口，实现第三方设备对本设备的控制。</w:t>
      </w:r>
      <w:r/>
    </w:p>
    <w:p>
      <w:pPr>
        <w:ind w:firstLine="480"/>
        <w:spacing w:line="500" w:lineRule="exact"/>
        <w:widowControl w:val="off"/>
        <w:rPr>
          <w:rFonts w:cs="Times New Roman"/>
          <w:sz w:val="24"/>
          <w:highlight w:val="none"/>
        </w:rPr>
      </w:pPr>
      <w:r>
        <w:rPr>
          <w:rFonts w:hint="eastAsia" w:cs="Times New Roman"/>
          <w:sz w:val="24"/>
          <w:highlight w:val="none"/>
        </w:rPr>
        <w:t xml:space="preserve">（20）★设备支持三级告警：设备的温湿度传感器探头监测湿度超过当前设定的湿度告警阈值，触发一级告警；设备已接入的光照传感器探头与设备断开连接后，触发二级告警；设备已接入的温湿度传感器探头与设备断开连接后，触发三级告警。</w:t>
      </w:r>
      <w:r/>
    </w:p>
    <w:p>
      <w:pPr>
        <w:ind w:firstLine="480"/>
        <w:spacing w:line="500" w:lineRule="exact"/>
        <w:widowControl w:val="off"/>
        <w:rPr>
          <w:rFonts w:cs="Times New Roman"/>
          <w:sz w:val="24"/>
          <w:highlight w:val="none"/>
        </w:rPr>
      </w:pPr>
      <w:r>
        <w:rPr>
          <w:rFonts w:hint="eastAsia" w:cs="Times New Roman"/>
          <w:sz w:val="24"/>
          <w:highlight w:val="none"/>
        </w:rPr>
        <w:t xml:space="preserve">（21）★设备三级告警时通知屏幕端指示告警等级，且在三级告警时自动停机。</w:t>
      </w:r>
      <w:r/>
    </w:p>
    <w:p>
      <w:pPr>
        <w:ind w:firstLine="480"/>
        <w:spacing w:line="500" w:lineRule="exact"/>
        <w:widowControl w:val="off"/>
        <w:rPr>
          <w:rFonts w:cs="Times New Roman"/>
          <w:sz w:val="24"/>
          <w:highlight w:val="none"/>
        </w:rPr>
      </w:pPr>
      <w:r>
        <w:rPr>
          <w:rFonts w:hint="eastAsia" w:cs="Times New Roman"/>
          <w:sz w:val="24"/>
          <w:highlight w:val="none"/>
        </w:rPr>
        <w:t xml:space="preserve">（22）应配备独立烟雾探测设备，报警信号实时反馈至监控中心。</w:t>
      </w:r>
      <w:r/>
    </w:p>
    <w:p>
      <w:pPr>
        <w:ind w:firstLine="480"/>
        <w:spacing w:line="500" w:lineRule="exact"/>
        <w:widowControl w:val="off"/>
        <w:rPr>
          <w:rFonts w:cs="Times New Roman"/>
          <w:sz w:val="24"/>
          <w:highlight w:val="none"/>
        </w:rPr>
      </w:pPr>
      <w:r>
        <w:rPr>
          <w:rFonts w:hint="eastAsia" w:cs="Times New Roman"/>
          <w:sz w:val="24"/>
          <w:highlight w:val="none"/>
        </w:rPr>
        <w:t xml:space="preserve">（23）★设备支持检修模式。可通过本地触摸屏操作，检修模式下，设备屏幕展示各部件的工作状态。</w:t>
      </w:r>
      <w:r/>
    </w:p>
    <w:p>
      <w:pPr>
        <w:ind w:firstLine="480"/>
        <w:spacing w:line="500" w:lineRule="exact"/>
        <w:widowControl w:val="off"/>
        <w:rPr>
          <w:rFonts w:cs="Times New Roman"/>
          <w:sz w:val="24"/>
          <w:highlight w:val="none"/>
        </w:rPr>
      </w:pPr>
      <w:r>
        <w:rPr>
          <w:rFonts w:hint="eastAsia" w:cs="Times New Roman"/>
          <w:sz w:val="24"/>
          <w:highlight w:val="none"/>
        </w:rPr>
        <w:t xml:space="preserve">（24）从配电室单独引出恒湿机专用电源线，经阻燃穿线管沿吊顶或墙面。敷设至展柜底部，实现独立供电。</w:t>
      </w:r>
      <w:r/>
    </w:p>
    <w:p>
      <w:pPr>
        <w:ind w:firstLine="480"/>
        <w:spacing w:line="500" w:lineRule="exact"/>
        <w:widowControl w:val="off"/>
        <w:rPr>
          <w:rFonts w:cs="Times New Roman"/>
          <w:b/>
          <w:bCs/>
          <w:i/>
          <w:iCs/>
          <w:sz w:val="24"/>
          <w:highlight w:val="none"/>
          <w:u w:val="single"/>
        </w:rPr>
        <w:outlineLvl w:val="2"/>
      </w:pPr>
      <w:r>
        <w:rPr>
          <w:rFonts w:hint="eastAsia" w:cs="Times New Roman"/>
          <w:b/>
          <w:bCs/>
          <w:i/>
          <w:iCs/>
          <w:sz w:val="24"/>
          <w:highlight w:val="none"/>
          <w:u w:val="single"/>
        </w:rPr>
        <w:t xml:space="preserve">注：投标时须提供所投核心产品的实物照片及产品标牌信息照片（产品品牌、型号须与投标文件分项报价表中的品牌型号完全一致），供采购人备案。中标后供货产品应与投标文件中所附照片及标牌信息保持一致。</w:t>
      </w:r>
      <w:r/>
    </w:p>
    <w:p>
      <w:pPr>
        <w:ind w:firstLine="480"/>
        <w:spacing w:line="500" w:lineRule="exact"/>
        <w:widowControl w:val="off"/>
        <w:rPr>
          <w:rFonts w:cs="Times New Roman"/>
          <w:b/>
          <w:bCs/>
          <w:sz w:val="24"/>
          <w:highlight w:val="none"/>
        </w:rPr>
        <w:outlineLvl w:val="2"/>
      </w:pPr>
      <w:r>
        <w:rPr>
          <w:rFonts w:hint="eastAsia" w:cs="Times New Roman"/>
          <w:b/>
          <w:bCs/>
          <w:sz w:val="24"/>
          <w:highlight w:val="none"/>
        </w:rPr>
        <w:t xml:space="preserve">4、展柜恒湿机（大型）</w:t>
      </w:r>
      <w:r/>
    </w:p>
    <w:p>
      <w:pPr>
        <w:ind w:firstLine="480"/>
        <w:spacing w:line="500" w:lineRule="exact"/>
        <w:widowControl w:val="off"/>
        <w:rPr>
          <w:rFonts w:cs="Times New Roman"/>
          <w:i/>
          <w:iCs/>
          <w:sz w:val="24"/>
          <w:highlight w:val="none"/>
          <w:u w:val="single"/>
        </w:rPr>
      </w:pPr>
      <w:r>
        <w:rPr>
          <w:rFonts w:hint="eastAsia" w:cs="Times New Roman"/>
          <w:i/>
          <w:iCs/>
          <w:sz w:val="24"/>
          <w:highlight w:val="none"/>
          <w:u w:val="single"/>
        </w:rPr>
        <w:t xml:space="preserve">（1）调控范围：湿度≥30%~70% RH，适用于不超过20m³展柜空间（展柜密闭性≤1次/天换气率）。</w:t>
      </w:r>
      <w:r/>
    </w:p>
    <w:p>
      <w:pPr>
        <w:ind w:firstLine="480"/>
        <w:spacing w:line="500" w:lineRule="exact"/>
        <w:widowControl w:val="off"/>
        <w:rPr>
          <w:rFonts w:cs="Times New Roman"/>
          <w:i/>
          <w:iCs/>
          <w:sz w:val="24"/>
          <w:highlight w:val="none"/>
          <w:u w:val="single"/>
        </w:rPr>
      </w:pPr>
      <w:r>
        <w:rPr>
          <w:rFonts w:hint="eastAsia" w:cs="Times New Roman"/>
          <w:i/>
          <w:iCs/>
          <w:sz w:val="24"/>
          <w:highlight w:val="none"/>
          <w:u w:val="single"/>
        </w:rPr>
        <w:t xml:space="preserve">（2）调控精度：≤±2%RH。</w:t>
      </w:r>
      <w:r/>
    </w:p>
    <w:p>
      <w:pPr>
        <w:ind w:firstLine="480"/>
        <w:spacing w:line="500" w:lineRule="exact"/>
        <w:widowControl w:val="off"/>
        <w:rPr>
          <w:rFonts w:cs="Times New Roman"/>
          <w:sz w:val="24"/>
          <w:highlight w:val="none"/>
        </w:rPr>
      </w:pPr>
      <w:r>
        <w:rPr>
          <w:rFonts w:hint="eastAsia" w:cs="Times New Roman"/>
          <w:sz w:val="24"/>
          <w:highlight w:val="none"/>
        </w:rPr>
        <w:t xml:space="preserve">（3）支持通过环境监测与控制的强化学习方法，完成空间湿度智能调控。</w:t>
      </w:r>
      <w:r/>
    </w:p>
    <w:p>
      <w:pPr>
        <w:ind w:firstLine="480"/>
        <w:spacing w:line="500" w:lineRule="exact"/>
        <w:widowControl w:val="off"/>
        <w:rPr>
          <w:rFonts w:cs="Times New Roman"/>
          <w:sz w:val="24"/>
          <w:highlight w:val="none"/>
        </w:rPr>
      </w:pPr>
      <w:r>
        <w:rPr>
          <w:rFonts w:hint="eastAsia" w:cs="Times New Roman"/>
          <w:sz w:val="24"/>
          <w:highlight w:val="none"/>
        </w:rPr>
        <w:t xml:space="preserve">（4）加水方式：可通过配置，实现免加水（空气取水）或通过外置水箱加水。</w:t>
      </w:r>
      <w:r/>
    </w:p>
    <w:p>
      <w:pPr>
        <w:ind w:firstLine="480"/>
        <w:spacing w:line="500" w:lineRule="exact"/>
        <w:widowControl w:val="off"/>
        <w:rPr>
          <w:rFonts w:cs="Times New Roman"/>
          <w:sz w:val="24"/>
          <w:highlight w:val="none"/>
        </w:rPr>
      </w:pPr>
      <w:r>
        <w:rPr>
          <w:rFonts w:hint="eastAsia" w:cs="Times New Roman"/>
          <w:sz w:val="24"/>
          <w:highlight w:val="none"/>
        </w:rPr>
        <w:t xml:space="preserve">（5）排水方式：免排水。</w:t>
      </w:r>
      <w:r/>
    </w:p>
    <w:p>
      <w:pPr>
        <w:ind w:firstLine="480"/>
        <w:spacing w:line="500" w:lineRule="exact"/>
        <w:widowControl w:val="off"/>
        <w:rPr>
          <w:rFonts w:cs="Times New Roman"/>
          <w:sz w:val="24"/>
          <w:highlight w:val="none"/>
        </w:rPr>
      </w:pPr>
      <w:r>
        <w:rPr>
          <w:rFonts w:hint="eastAsia" w:cs="Times New Roman"/>
          <w:sz w:val="24"/>
          <w:highlight w:val="none"/>
        </w:rPr>
        <w:t xml:space="preserve">（6）支持多机分布式扩展（一主多从）。</w:t>
      </w:r>
      <w:r/>
    </w:p>
    <w:p>
      <w:pPr>
        <w:ind w:firstLine="480"/>
        <w:spacing w:line="500" w:lineRule="exact"/>
        <w:widowControl w:val="off"/>
        <w:rPr>
          <w:rFonts w:cs="Times New Roman"/>
          <w:sz w:val="24"/>
          <w:highlight w:val="none"/>
        </w:rPr>
      </w:pPr>
      <w:r>
        <w:rPr>
          <w:rFonts w:hint="eastAsia" w:cs="Times New Roman"/>
          <w:i/>
          <w:iCs/>
          <w:sz w:val="24"/>
          <w:highlight w:val="none"/>
          <w:u w:val="single"/>
        </w:rPr>
        <w:t xml:space="preserve">（7）显示界面：≥4 英寸电容触摸屏，实时显示参数及工作状态。</w:t>
      </w:r>
      <w:r/>
    </w:p>
    <w:p>
      <w:pPr>
        <w:ind w:firstLine="480"/>
        <w:spacing w:line="500" w:lineRule="exact"/>
        <w:widowControl w:val="off"/>
        <w:rPr>
          <w:rFonts w:cs="Times New Roman"/>
          <w:sz w:val="24"/>
          <w:highlight w:val="none"/>
        </w:rPr>
      </w:pPr>
      <w:r>
        <w:rPr>
          <w:rFonts w:hint="eastAsia" w:cs="Times New Roman"/>
          <w:sz w:val="24"/>
          <w:highlight w:val="none"/>
        </w:rPr>
        <w:t xml:space="preserve">（8）出入气管：</w:t>
      </w:r>
      <w:r>
        <w:rPr>
          <w:rFonts w:hint="eastAsia" w:cs="Times New Roman"/>
          <w:sz w:val="24"/>
          <w:highlight w:val="none"/>
          <w:lang w:val="en-US" w:eastAsia="zh-CN"/>
        </w:rPr>
        <w:t xml:space="preserve">≥</w:t>
      </w:r>
      <w:r>
        <w:rPr>
          <w:rFonts w:hint="eastAsia" w:cs="Times New Roman"/>
          <w:sz w:val="24"/>
          <w:highlight w:val="none"/>
        </w:rPr>
        <w:t xml:space="preserve">DN20。</w:t>
      </w:r>
      <w:r/>
    </w:p>
    <w:p>
      <w:pPr>
        <w:ind w:firstLine="480"/>
        <w:spacing w:line="500" w:lineRule="exact"/>
        <w:widowControl w:val="off"/>
        <w:rPr>
          <w:rFonts w:cs="Times New Roman"/>
          <w:i/>
          <w:iCs/>
          <w:sz w:val="24"/>
          <w:highlight w:val="none"/>
          <w:u w:val="single"/>
        </w:rPr>
      </w:pPr>
      <w:r>
        <w:rPr>
          <w:rFonts w:hint="eastAsia" w:cs="Times New Roman"/>
          <w:i/>
          <w:iCs/>
          <w:sz w:val="24"/>
          <w:highlight w:val="none"/>
          <w:u w:val="single"/>
        </w:rPr>
        <w:t xml:space="preserve">（9）功率：最小功率≤12W，最大功率≤240W。</w:t>
      </w:r>
      <w:r/>
    </w:p>
    <w:p>
      <w:pPr>
        <w:ind w:firstLine="480"/>
        <w:spacing w:line="500" w:lineRule="exact"/>
        <w:widowControl w:val="off"/>
        <w:rPr>
          <w:rFonts w:cs="Times New Roman"/>
          <w:sz w:val="24"/>
          <w:highlight w:val="none"/>
        </w:rPr>
      </w:pPr>
      <w:r>
        <w:rPr>
          <w:rFonts w:hint="eastAsia" w:cs="Times New Roman"/>
          <w:sz w:val="24"/>
          <w:highlight w:val="none"/>
        </w:rPr>
        <w:t xml:space="preserve">（10）供电方式：DC24V。应配置独立的电源插座。</w:t>
      </w:r>
      <w:r/>
    </w:p>
    <w:p>
      <w:pPr>
        <w:ind w:firstLine="480"/>
        <w:spacing w:line="500" w:lineRule="exact"/>
        <w:widowControl w:val="off"/>
        <w:rPr>
          <w:rFonts w:cs="Times New Roman"/>
          <w:i/>
          <w:iCs/>
          <w:sz w:val="24"/>
          <w:highlight w:val="none"/>
          <w:u w:val="single"/>
        </w:rPr>
      </w:pPr>
      <w:r>
        <w:rPr>
          <w:rFonts w:hint="eastAsia" w:cs="Times New Roman"/>
          <w:i/>
          <w:iCs/>
          <w:sz w:val="24"/>
          <w:highlight w:val="none"/>
          <w:u w:val="single"/>
        </w:rPr>
        <w:t xml:space="preserve">（11）工作环境：≥5～40℃。</w:t>
      </w:r>
      <w:r/>
    </w:p>
    <w:p>
      <w:pPr>
        <w:ind w:firstLine="480"/>
        <w:spacing w:line="500" w:lineRule="exact"/>
        <w:widowControl w:val="off"/>
        <w:rPr>
          <w:rFonts w:cs="Times New Roman"/>
          <w:i/>
          <w:iCs/>
          <w:sz w:val="24"/>
          <w:highlight w:val="none"/>
          <w:u w:val="single"/>
        </w:rPr>
      </w:pPr>
      <w:r>
        <w:rPr>
          <w:rFonts w:hint="eastAsia" w:cs="Times New Roman"/>
          <w:i/>
          <w:iCs/>
          <w:sz w:val="24"/>
          <w:highlight w:val="none"/>
          <w:u w:val="single"/>
        </w:rPr>
        <w:t xml:space="preserve">（12）存储环境：≥-10～50℃，0%～95% RH（无凝露）。</w:t>
      </w:r>
      <w:r/>
    </w:p>
    <w:p>
      <w:pPr>
        <w:ind w:firstLine="480"/>
        <w:spacing w:line="500" w:lineRule="exact"/>
        <w:widowControl w:val="off"/>
        <w:rPr>
          <w:rFonts w:cs="Times New Roman"/>
          <w:i/>
          <w:iCs/>
          <w:sz w:val="24"/>
          <w:highlight w:val="none"/>
          <w:u w:val="single"/>
        </w:rPr>
      </w:pPr>
      <w:r>
        <w:rPr>
          <w:rFonts w:hint="eastAsia" w:cs="Times New Roman"/>
          <w:i/>
          <w:iCs/>
          <w:sz w:val="24"/>
          <w:highlight w:val="none"/>
          <w:u w:val="single"/>
        </w:rPr>
        <w:t xml:space="preserve">（13）重量：≤10kg。</w:t>
      </w:r>
      <w:r/>
    </w:p>
    <w:p>
      <w:pPr>
        <w:ind w:firstLine="480"/>
        <w:spacing w:line="500" w:lineRule="exact"/>
        <w:widowControl w:val="off"/>
        <w:rPr>
          <w:rFonts w:cs="Times New Roman"/>
          <w:i/>
          <w:iCs/>
          <w:sz w:val="24"/>
          <w:highlight w:val="none"/>
          <w:u w:val="single"/>
        </w:rPr>
      </w:pPr>
      <w:r>
        <w:rPr>
          <w:rFonts w:hint="eastAsia" w:cs="Times New Roman"/>
          <w:i/>
          <w:iCs/>
          <w:sz w:val="24"/>
          <w:highlight w:val="none"/>
          <w:u w:val="single"/>
        </w:rPr>
        <w:t xml:space="preserve">（14）通信可靠性≥99. 9 %。</w:t>
      </w:r>
      <w:r/>
    </w:p>
    <w:p>
      <w:pPr>
        <w:ind w:firstLine="480"/>
        <w:spacing w:line="500" w:lineRule="exact"/>
        <w:widowControl w:val="off"/>
        <w:rPr>
          <w:rFonts w:cs="Times New Roman"/>
          <w:i/>
          <w:iCs/>
          <w:sz w:val="24"/>
          <w:highlight w:val="none"/>
          <w:u w:val="single"/>
        </w:rPr>
      </w:pPr>
      <w:r>
        <w:rPr>
          <w:rFonts w:hint="eastAsia" w:cs="Times New Roman"/>
          <w:sz w:val="24"/>
          <w:highlight w:val="none"/>
        </w:rPr>
        <w:t xml:space="preserve">（15）▲支持多种通信协议和接口，包括：以太网、4G、433MHz。</w:t>
      </w:r>
      <w:r/>
    </w:p>
    <w:p>
      <w:pPr>
        <w:ind w:firstLine="480"/>
        <w:spacing w:line="500" w:lineRule="exact"/>
        <w:widowControl w:val="off"/>
        <w:rPr>
          <w:rFonts w:cs="Times New Roman"/>
          <w:sz w:val="24"/>
          <w:highlight w:val="none"/>
        </w:rPr>
      </w:pPr>
      <w:r>
        <w:rPr>
          <w:rFonts w:hint="eastAsia" w:cs="Times New Roman"/>
          <w:sz w:val="24"/>
          <w:highlight w:val="none"/>
        </w:rPr>
        <w:t xml:space="preserve">（16）▲设备支持通过三种及以上加密算法对上行和下行数据链路数据进行加密、解密。</w:t>
      </w:r>
      <w:r/>
    </w:p>
    <w:p>
      <w:pPr>
        <w:ind w:firstLine="480"/>
        <w:spacing w:line="500" w:lineRule="exact"/>
        <w:widowControl w:val="off"/>
        <w:rPr>
          <w:rFonts w:cs="Times New Roman"/>
          <w:sz w:val="24"/>
          <w:highlight w:val="none"/>
        </w:rPr>
      </w:pPr>
      <w:r>
        <w:rPr>
          <w:rFonts w:hint="eastAsia" w:cs="Times New Roman"/>
          <w:sz w:val="24"/>
          <w:highlight w:val="none"/>
        </w:rPr>
        <w:t xml:space="preserve">（17）设备支持通过本地触摸屏、蓝牙通信接口、远程服务器进行参数配置。</w:t>
      </w:r>
      <w:r/>
    </w:p>
    <w:p>
      <w:pPr>
        <w:ind w:firstLine="480"/>
        <w:spacing w:line="500" w:lineRule="exact"/>
        <w:widowControl w:val="off"/>
        <w:rPr>
          <w:rFonts w:cs="Times New Roman"/>
          <w:sz w:val="24"/>
          <w:highlight w:val="none"/>
        </w:rPr>
      </w:pPr>
      <w:r>
        <w:rPr>
          <w:rFonts w:hint="eastAsia" w:cs="Times New Roman"/>
          <w:sz w:val="24"/>
          <w:highlight w:val="none"/>
        </w:rPr>
        <w:t xml:space="preserve">（18）▲设备支持配置的参数应包括：设备加湿模式（有水或无水）、启停、目标湿度等。</w:t>
      </w:r>
      <w:r/>
    </w:p>
    <w:p>
      <w:pPr>
        <w:ind w:firstLine="480"/>
        <w:spacing w:line="500" w:lineRule="exact"/>
        <w:widowControl w:val="off"/>
        <w:rPr>
          <w:rFonts w:cs="Times New Roman"/>
          <w:sz w:val="24"/>
          <w:highlight w:val="none"/>
        </w:rPr>
      </w:pPr>
      <w:r>
        <w:rPr>
          <w:rFonts w:hint="eastAsia" w:cs="Times New Roman"/>
          <w:sz w:val="24"/>
          <w:highlight w:val="none"/>
        </w:rPr>
        <w:t xml:space="preserve">（19）▲设备支持通过标准的现场总线通讯接口，实现第三方设备对本设备的控制。</w:t>
      </w:r>
      <w:r/>
    </w:p>
    <w:p>
      <w:pPr>
        <w:ind w:firstLine="480"/>
        <w:spacing w:line="500" w:lineRule="exact"/>
        <w:widowControl w:val="off"/>
        <w:rPr>
          <w:rFonts w:cs="Times New Roman"/>
          <w:sz w:val="24"/>
          <w:highlight w:val="none"/>
        </w:rPr>
      </w:pPr>
      <w:r>
        <w:rPr>
          <w:rFonts w:hint="eastAsia" w:cs="Times New Roman"/>
          <w:sz w:val="24"/>
          <w:highlight w:val="none"/>
        </w:rPr>
        <w:t xml:space="preserve">（20）▲设备可监测整机和各器件工作状态，设备支持三级告警：一级轻微告警，展柜湿度异常警示；二级一般告警，与恒湿机调控湿度无关的传感器异常警示；三级：严重告警，与恒湿机调控湿度相关的器件异常警示。</w:t>
      </w:r>
      <w:r/>
    </w:p>
    <w:p>
      <w:pPr>
        <w:ind w:firstLine="480"/>
        <w:spacing w:line="500" w:lineRule="exact"/>
        <w:widowControl w:val="off"/>
        <w:rPr>
          <w:rFonts w:cs="Times New Roman"/>
          <w:sz w:val="24"/>
          <w:highlight w:val="none"/>
        </w:rPr>
      </w:pPr>
      <w:r>
        <w:rPr>
          <w:rFonts w:hint="eastAsia" w:cs="Times New Roman"/>
          <w:sz w:val="24"/>
          <w:highlight w:val="none"/>
        </w:rPr>
        <w:t xml:space="preserve">（21）▲设备告警时通知屏幕端和服务器端指示告警等级和内容，且在三级告警时自动停机。</w:t>
      </w:r>
      <w:r/>
    </w:p>
    <w:p>
      <w:pPr>
        <w:ind w:firstLine="480"/>
        <w:spacing w:line="500" w:lineRule="exact"/>
        <w:widowControl w:val="off"/>
        <w:rPr>
          <w:rFonts w:cs="Times New Roman"/>
          <w:sz w:val="24"/>
          <w:highlight w:val="none"/>
        </w:rPr>
      </w:pPr>
      <w:r>
        <w:rPr>
          <w:rFonts w:hint="eastAsia" w:cs="Times New Roman"/>
          <w:sz w:val="24"/>
          <w:highlight w:val="none"/>
        </w:rPr>
        <w:t xml:space="preserve">（22）应配备独立烟雾探测设备，报警信号实时反馈至监控中心。</w:t>
      </w:r>
      <w:r/>
    </w:p>
    <w:p>
      <w:pPr>
        <w:ind w:firstLine="480"/>
        <w:spacing w:line="500" w:lineRule="exact"/>
        <w:widowControl w:val="off"/>
        <w:rPr>
          <w:rFonts w:cs="Times New Roman"/>
          <w:sz w:val="24"/>
          <w:highlight w:val="none"/>
        </w:rPr>
      </w:pPr>
      <w:r>
        <w:rPr>
          <w:rFonts w:hint="eastAsia" w:cs="Times New Roman"/>
          <w:sz w:val="24"/>
          <w:highlight w:val="none"/>
        </w:rPr>
        <w:t xml:space="preserve">（23）▲设备支持进入检修模式，可通过本地触摸屏控制恒湿机内部各执行器件动作。</w:t>
      </w:r>
      <w:r/>
    </w:p>
    <w:p>
      <w:pPr>
        <w:ind w:firstLine="480"/>
        <w:spacing w:line="500" w:lineRule="exact"/>
        <w:widowControl w:val="off"/>
        <w:rPr>
          <w:rFonts w:cs="Times New Roman"/>
          <w:sz w:val="24"/>
          <w:highlight w:val="none"/>
        </w:rPr>
      </w:pPr>
      <w:r>
        <w:rPr>
          <w:rFonts w:hint="eastAsia" w:cs="Times New Roman"/>
          <w:sz w:val="24"/>
          <w:highlight w:val="none"/>
        </w:rPr>
        <w:t xml:space="preserve">（24）从配电室单独引出恒湿机专用电源线，经阻燃穿线管沿吊顶或墙面。敷设至展柜底部，实现独立供电。</w:t>
      </w:r>
      <w:r/>
    </w:p>
    <w:p>
      <w:pPr>
        <w:ind w:firstLine="480"/>
        <w:spacing w:line="500" w:lineRule="exact"/>
        <w:widowControl w:val="off"/>
        <w:rPr>
          <w:rFonts w:cs="Times New Roman"/>
          <w:b/>
          <w:bCs/>
          <w:i/>
          <w:iCs/>
          <w:sz w:val="24"/>
          <w:highlight w:val="none"/>
          <w:u w:val="single"/>
        </w:rPr>
        <w:outlineLvl w:val="2"/>
      </w:pPr>
      <w:r>
        <w:rPr>
          <w:rFonts w:hint="eastAsia" w:cs="Times New Roman"/>
          <w:b/>
          <w:bCs/>
          <w:i/>
          <w:iCs/>
          <w:sz w:val="24"/>
          <w:highlight w:val="none"/>
          <w:u w:val="single"/>
        </w:rPr>
        <w:t xml:space="preserve">注：投标时须提供所投核心产品的实物照片及产品标牌信息照片（产品品牌、型号须与投标文件分项报价表中的品牌型号完全一致），供采购人备案。中标后供货产品应与投标文件中所附照片及标牌信息保持一致。</w:t>
      </w:r>
      <w:r/>
    </w:p>
    <w:p>
      <w:pPr>
        <w:spacing w:line="500" w:lineRule="exact"/>
        <w:widowControl w:val="off"/>
        <w:rPr>
          <w:rFonts w:cs="Times New Roman"/>
          <w:b/>
          <w:bCs/>
          <w:sz w:val="24"/>
          <w:highlight w:val="none"/>
        </w:rPr>
        <w:outlineLvl w:val="2"/>
      </w:pPr>
      <w:r>
        <w:rPr>
          <w:rFonts w:hint="eastAsia" w:cs="Times New Roman"/>
          <w:b/>
          <w:bCs/>
          <w:sz w:val="24"/>
          <w:highlight w:val="none"/>
        </w:rPr>
        <w:t xml:space="preserve">5、展柜微环境测控器</w:t>
      </w:r>
      <w:r/>
    </w:p>
    <w:p>
      <w:pPr>
        <w:ind w:firstLine="480"/>
        <w:spacing w:line="500" w:lineRule="exact"/>
        <w:widowControl w:val="off"/>
        <w:rPr>
          <w:rFonts w:cs="Times New Roman"/>
          <w:sz w:val="24"/>
          <w:highlight w:val="none"/>
        </w:rPr>
      </w:pPr>
      <w:r>
        <w:rPr>
          <w:rFonts w:hint="eastAsia" w:cs="Times New Roman"/>
          <w:sz w:val="24"/>
          <w:highlight w:val="none"/>
        </w:rPr>
        <w:t xml:space="preserve">（一）通信特性</w:t>
      </w:r>
      <w:r>
        <w:rPr>
          <w:rFonts w:hint="eastAsia" w:cs="Times New Roman"/>
          <w:sz w:val="24"/>
          <w:highlight w:val="none"/>
        </w:rPr>
        <w:tab/>
      </w:r>
      <w:r/>
    </w:p>
    <w:p>
      <w:pPr>
        <w:ind w:firstLine="480"/>
        <w:spacing w:line="500" w:lineRule="exact"/>
        <w:widowControl w:val="off"/>
        <w:rPr>
          <w:rFonts w:cs="Times New Roman"/>
          <w:sz w:val="24"/>
          <w:highlight w:val="none"/>
        </w:rPr>
      </w:pPr>
      <w:r>
        <w:rPr>
          <w:rFonts w:hint="eastAsia" w:cs="Times New Roman"/>
          <w:sz w:val="24"/>
          <w:highlight w:val="none"/>
        </w:rPr>
        <w:t xml:space="preserve">（1）模式1：以太网通信；</w:t>
      </w:r>
      <w:r/>
    </w:p>
    <w:p>
      <w:pPr>
        <w:ind w:firstLine="480"/>
        <w:spacing w:line="500" w:lineRule="exact"/>
        <w:widowControl w:val="off"/>
        <w:rPr>
          <w:rFonts w:cs="Times New Roman"/>
          <w:sz w:val="24"/>
          <w:highlight w:val="none"/>
        </w:rPr>
      </w:pPr>
      <w:r>
        <w:rPr>
          <w:rFonts w:hint="eastAsia" w:cs="Times New Roman"/>
          <w:sz w:val="24"/>
          <w:highlight w:val="none"/>
        </w:rPr>
        <w:t xml:space="preserve">IP获取方式：静态IP，DHCP；</w:t>
      </w:r>
      <w:r/>
    </w:p>
    <w:p>
      <w:pPr>
        <w:ind w:firstLine="480"/>
        <w:spacing w:line="500" w:lineRule="exact"/>
        <w:widowControl w:val="off"/>
        <w:rPr>
          <w:rFonts w:cs="Times New Roman"/>
          <w:sz w:val="24"/>
          <w:highlight w:val="none"/>
        </w:rPr>
      </w:pPr>
      <w:r>
        <w:rPr>
          <w:rFonts w:hint="eastAsia" w:cs="Times New Roman"/>
          <w:sz w:val="24"/>
          <w:highlight w:val="none"/>
        </w:rPr>
        <w:t xml:space="preserve">域名解析：支持；</w:t>
      </w:r>
      <w:r/>
    </w:p>
    <w:p>
      <w:pPr>
        <w:ind w:firstLine="480"/>
        <w:spacing w:line="500" w:lineRule="exact"/>
        <w:widowControl w:val="off"/>
        <w:rPr>
          <w:rFonts w:cs="Times New Roman"/>
          <w:sz w:val="24"/>
          <w:highlight w:val="none"/>
        </w:rPr>
      </w:pPr>
      <w:r>
        <w:rPr>
          <w:rFonts w:hint="eastAsia" w:cs="Times New Roman"/>
          <w:sz w:val="24"/>
          <w:highlight w:val="none"/>
        </w:rPr>
        <w:t xml:space="preserve">远程登录调试：支持；</w:t>
      </w:r>
      <w:r/>
    </w:p>
    <w:p>
      <w:pPr>
        <w:ind w:firstLine="480"/>
        <w:spacing w:line="500" w:lineRule="exact"/>
        <w:widowControl w:val="off"/>
        <w:rPr>
          <w:rFonts w:cs="Times New Roman"/>
          <w:sz w:val="24"/>
          <w:highlight w:val="none"/>
        </w:rPr>
      </w:pPr>
      <w:r>
        <w:rPr>
          <w:rFonts w:hint="eastAsia" w:cs="Times New Roman"/>
          <w:sz w:val="24"/>
          <w:highlight w:val="none"/>
        </w:rPr>
        <w:t xml:space="preserve">远程固件升级：支持；</w:t>
      </w:r>
      <w:r/>
    </w:p>
    <w:p>
      <w:pPr>
        <w:ind w:firstLine="480"/>
        <w:spacing w:line="500" w:lineRule="exact"/>
        <w:widowControl w:val="off"/>
        <w:rPr>
          <w:rFonts w:cs="Times New Roman"/>
          <w:sz w:val="24"/>
          <w:highlight w:val="none"/>
        </w:rPr>
      </w:pPr>
      <w:r>
        <w:rPr>
          <w:rFonts w:hint="eastAsia" w:cs="Times New Roman"/>
          <w:sz w:val="24"/>
          <w:highlight w:val="none"/>
        </w:rPr>
        <w:t xml:space="preserve">加密通讯：支持；</w:t>
      </w:r>
      <w:r/>
    </w:p>
    <w:p>
      <w:pPr>
        <w:ind w:firstLine="480"/>
        <w:spacing w:line="500" w:lineRule="exact"/>
        <w:widowControl w:val="off"/>
        <w:rPr>
          <w:rFonts w:cs="Times New Roman"/>
          <w:sz w:val="24"/>
          <w:highlight w:val="none"/>
        </w:rPr>
      </w:pPr>
      <w:r>
        <w:rPr>
          <w:rFonts w:hint="eastAsia" w:cs="Times New Roman"/>
          <w:sz w:val="24"/>
          <w:highlight w:val="none"/>
        </w:rPr>
        <w:t xml:space="preserve">（2）模式2：RS485；</w:t>
      </w:r>
      <w:r/>
    </w:p>
    <w:p>
      <w:pPr>
        <w:ind w:firstLine="480"/>
        <w:spacing w:line="500" w:lineRule="exact"/>
        <w:widowControl w:val="off"/>
        <w:rPr>
          <w:rFonts w:cs="Times New Roman"/>
          <w:sz w:val="24"/>
          <w:highlight w:val="none"/>
        </w:rPr>
      </w:pPr>
      <w:r>
        <w:rPr>
          <w:rFonts w:hint="eastAsia" w:cs="Times New Roman"/>
          <w:sz w:val="24"/>
          <w:highlight w:val="none"/>
        </w:rPr>
        <w:t xml:space="preserve">通讯协议：MODBUS RTU；</w:t>
      </w:r>
      <w:r/>
    </w:p>
    <w:p>
      <w:pPr>
        <w:ind w:firstLine="480"/>
        <w:spacing w:line="500" w:lineRule="exact"/>
        <w:widowControl w:val="off"/>
        <w:rPr>
          <w:rFonts w:cs="Times New Roman"/>
          <w:sz w:val="24"/>
          <w:highlight w:val="none"/>
        </w:rPr>
      </w:pPr>
      <w:r>
        <w:rPr>
          <w:rFonts w:hint="eastAsia" w:cs="Times New Roman"/>
          <w:sz w:val="24"/>
          <w:highlight w:val="none"/>
        </w:rPr>
        <w:t xml:space="preserve">波特率：9600 bit/s。</w:t>
      </w:r>
      <w:r/>
    </w:p>
    <w:p>
      <w:pPr>
        <w:ind w:firstLine="480"/>
        <w:spacing w:line="500" w:lineRule="exact"/>
        <w:widowControl w:val="off"/>
        <w:rPr>
          <w:rFonts w:cs="Times New Roman"/>
          <w:sz w:val="24"/>
          <w:highlight w:val="none"/>
        </w:rPr>
      </w:pPr>
      <w:r>
        <w:rPr>
          <w:rFonts w:hint="eastAsia" w:cs="Times New Roman"/>
          <w:sz w:val="24"/>
          <w:highlight w:val="none"/>
        </w:rPr>
        <w:t xml:space="preserve">（3）▲支持通过三种及以上加密算法对上行和下行数据链路数据进行加密、解密。</w:t>
      </w:r>
      <w:r/>
    </w:p>
    <w:p>
      <w:pPr>
        <w:ind w:firstLine="480"/>
        <w:spacing w:line="500" w:lineRule="exact"/>
        <w:widowControl w:val="off"/>
        <w:rPr>
          <w:rFonts w:cs="Times New Roman"/>
          <w:sz w:val="24"/>
          <w:highlight w:val="none"/>
        </w:rPr>
      </w:pPr>
      <w:r>
        <w:rPr>
          <w:rFonts w:hint="eastAsia" w:cs="Times New Roman"/>
          <w:sz w:val="24"/>
          <w:highlight w:val="none"/>
        </w:rPr>
        <w:t xml:space="preserve">（二）结构特性</w:t>
      </w:r>
      <w:r>
        <w:rPr>
          <w:rFonts w:hint="eastAsia" w:cs="Times New Roman"/>
          <w:sz w:val="24"/>
          <w:highlight w:val="none"/>
        </w:rPr>
        <w:tab/>
      </w:r>
      <w:r/>
    </w:p>
    <w:p>
      <w:pPr>
        <w:ind w:firstLine="480"/>
        <w:spacing w:line="500" w:lineRule="exact"/>
        <w:widowControl w:val="off"/>
        <w:rPr>
          <w:rFonts w:cs="Times New Roman"/>
          <w:sz w:val="24"/>
          <w:highlight w:val="none"/>
        </w:rPr>
      </w:pPr>
      <w:r>
        <w:rPr>
          <w:rFonts w:hint="eastAsia" w:cs="Times New Roman"/>
          <w:sz w:val="24"/>
          <w:highlight w:val="none"/>
        </w:rPr>
        <w:t xml:space="preserve">设备自带触摸液晶屏：</w:t>
      </w:r>
      <w:r/>
    </w:p>
    <w:p>
      <w:pPr>
        <w:ind w:firstLine="480"/>
        <w:spacing w:line="500" w:lineRule="exact"/>
        <w:widowControl w:val="off"/>
        <w:rPr>
          <w:rFonts w:cs="Times New Roman"/>
          <w:sz w:val="24"/>
          <w:highlight w:val="none"/>
        </w:rPr>
      </w:pPr>
      <w:r>
        <w:rPr>
          <w:rFonts w:hint="eastAsia" w:cs="Times New Roman"/>
          <w:sz w:val="24"/>
          <w:highlight w:val="none"/>
        </w:rPr>
        <w:t xml:space="preserve">功能：信息显示、参数设置等。</w:t>
      </w:r>
      <w:r/>
    </w:p>
    <w:p>
      <w:pPr>
        <w:ind w:firstLine="480"/>
        <w:spacing w:line="500" w:lineRule="exact"/>
        <w:widowControl w:val="off"/>
        <w:rPr>
          <w:rFonts w:cs="Times New Roman"/>
          <w:sz w:val="24"/>
          <w:highlight w:val="none"/>
        </w:rPr>
      </w:pPr>
      <w:r>
        <w:rPr>
          <w:rFonts w:hint="eastAsia" w:cs="Times New Roman"/>
          <w:sz w:val="24"/>
          <w:highlight w:val="none"/>
        </w:rPr>
        <w:t xml:space="preserve">（三）功能特性</w:t>
      </w:r>
      <w:r/>
    </w:p>
    <w:p>
      <w:pPr>
        <w:ind w:firstLine="480"/>
        <w:spacing w:line="500" w:lineRule="exact"/>
        <w:widowControl w:val="off"/>
        <w:rPr>
          <w:rFonts w:cs="Times New Roman"/>
          <w:sz w:val="24"/>
          <w:highlight w:val="none"/>
        </w:rPr>
      </w:pPr>
      <w:r>
        <w:rPr>
          <w:rFonts w:hint="eastAsia" w:cs="Times New Roman"/>
          <w:sz w:val="24"/>
          <w:highlight w:val="none"/>
        </w:rPr>
        <w:t xml:space="preserve">（1）支持展柜微环境监测。可通过外置传感器探头对展柜内温度、湿度等环境参数进行采集。</w:t>
      </w:r>
      <w:r/>
    </w:p>
    <w:p>
      <w:pPr>
        <w:ind w:firstLine="480"/>
        <w:spacing w:line="500" w:lineRule="exact"/>
        <w:widowControl w:val="off"/>
        <w:rPr>
          <w:rFonts w:cs="Times New Roman"/>
          <w:sz w:val="24"/>
          <w:highlight w:val="none"/>
        </w:rPr>
      </w:pPr>
      <w:r>
        <w:rPr>
          <w:rFonts w:hint="eastAsia" w:cs="Times New Roman"/>
          <w:sz w:val="24"/>
          <w:highlight w:val="none"/>
        </w:rPr>
        <w:t xml:space="preserve">（2）★单台设备支持同时连接探头数量≥12个，包括温度、湿度、光照等类型的传感器探头，支持多类型探头混插使用。</w:t>
      </w:r>
      <w:r/>
    </w:p>
    <w:p>
      <w:pPr>
        <w:ind w:firstLine="480"/>
        <w:spacing w:line="500" w:lineRule="exact"/>
        <w:widowControl w:val="off"/>
        <w:rPr>
          <w:rFonts w:cs="Times New Roman"/>
          <w:sz w:val="24"/>
          <w:highlight w:val="none"/>
        </w:rPr>
      </w:pPr>
      <w:r>
        <w:rPr>
          <w:rFonts w:hint="eastAsia" w:cs="Times New Roman"/>
          <w:sz w:val="24"/>
          <w:highlight w:val="none"/>
        </w:rPr>
        <w:t xml:space="preserve">（3）★支持传感器热插拔，自动识别传感器 ID 、类型、</w:t>
      </w:r>
      <w:r>
        <w:rPr>
          <w:rFonts w:hint="eastAsia" w:ascii="Times New Roman" w:hAnsi="Times New Roman" w:eastAsia="宋体" w:cs="Times New Roman"/>
          <w:color w:val="000000"/>
          <w:sz w:val="24"/>
          <w:highlight w:val="none"/>
        </w:rPr>
        <w:t xml:space="preserve">实时环境监测数据</w:t>
      </w:r>
      <w:r>
        <w:rPr>
          <w:rFonts w:hint="eastAsia" w:cs="Times New Roman"/>
          <w:sz w:val="24"/>
          <w:highlight w:val="none"/>
        </w:rPr>
        <w:t xml:space="preserve">。</w:t>
      </w:r>
      <w:r/>
    </w:p>
    <w:p>
      <w:pPr>
        <w:ind w:firstLine="480"/>
        <w:spacing w:line="500" w:lineRule="exact"/>
        <w:widowControl w:val="off"/>
        <w:rPr>
          <w:rFonts w:cs="Times New Roman"/>
          <w:sz w:val="24"/>
          <w:highlight w:val="none"/>
        </w:rPr>
      </w:pPr>
      <w:r>
        <w:rPr>
          <w:rFonts w:hint="eastAsia" w:cs="Times New Roman"/>
          <w:sz w:val="24"/>
          <w:highlight w:val="none"/>
        </w:rPr>
        <w:t xml:space="preserve">（4）▲设备支持通过以太网、433MHz把采集的监测数据上报到服务器的功能。</w:t>
      </w:r>
      <w:r/>
    </w:p>
    <w:p>
      <w:pPr>
        <w:ind w:firstLine="480"/>
        <w:spacing w:line="500" w:lineRule="exact"/>
        <w:widowControl w:val="off"/>
        <w:rPr>
          <w:rFonts w:cs="Times New Roman"/>
          <w:sz w:val="24"/>
          <w:highlight w:val="none"/>
        </w:rPr>
      </w:pPr>
      <w:r>
        <w:rPr>
          <w:rFonts w:hint="eastAsia" w:cs="Times New Roman"/>
          <w:sz w:val="24"/>
          <w:highlight w:val="none"/>
        </w:rPr>
        <w:t xml:space="preserve">（5）数据上报周期可设置（≥1分钟），传输成功率≥99.9%。</w:t>
      </w:r>
      <w:r/>
    </w:p>
    <w:p>
      <w:pPr>
        <w:ind w:firstLine="480"/>
        <w:spacing w:line="500" w:lineRule="exact"/>
        <w:widowControl w:val="off"/>
        <w:rPr>
          <w:rFonts w:cs="Times New Roman"/>
          <w:sz w:val="24"/>
          <w:highlight w:val="none"/>
        </w:rPr>
      </w:pPr>
      <w:r>
        <w:rPr>
          <w:rFonts w:hint="eastAsia" w:cs="Times New Roman"/>
          <w:sz w:val="24"/>
          <w:highlight w:val="none"/>
        </w:rPr>
        <w:t xml:space="preserve">（6）▲设备断网状态下，具有监测数据的本地存储功能，网络恢复后完成数据依次补传。</w:t>
      </w:r>
      <w:r/>
    </w:p>
    <w:p>
      <w:pPr>
        <w:ind w:firstLine="480"/>
        <w:spacing w:line="500" w:lineRule="exact"/>
        <w:widowControl w:val="off"/>
        <w:rPr>
          <w:rFonts w:cs="Times New Roman"/>
          <w:sz w:val="24"/>
          <w:highlight w:val="none"/>
        </w:rPr>
      </w:pPr>
      <w:r>
        <w:rPr>
          <w:rFonts w:hint="eastAsia" w:cs="Times New Roman"/>
          <w:sz w:val="24"/>
          <w:highlight w:val="none"/>
        </w:rPr>
        <w:t xml:space="preserve">（7）▲设备支持对多种第三方设备的控制，包括展柜恒湿机等，实现调控目标值设置、风量设置。</w:t>
      </w:r>
      <w:r/>
    </w:p>
    <w:p>
      <w:pPr>
        <w:ind w:firstLine="480"/>
        <w:spacing w:line="500" w:lineRule="exact"/>
        <w:widowControl w:val="off"/>
        <w:rPr>
          <w:rFonts w:cs="Times New Roman"/>
          <w:sz w:val="24"/>
          <w:highlight w:val="none"/>
        </w:rPr>
      </w:pPr>
      <w:r>
        <w:rPr>
          <w:rFonts w:hint="eastAsia" w:cs="Times New Roman"/>
          <w:sz w:val="24"/>
          <w:highlight w:val="none"/>
        </w:rPr>
        <w:t xml:space="preserve">（8）▲设备支持接收从服务器端下发的控制命令，下发至受控设备无偏差。</w:t>
      </w:r>
      <w:r/>
    </w:p>
    <w:p>
      <w:pPr>
        <w:ind w:firstLine="480"/>
        <w:spacing w:line="500" w:lineRule="exact"/>
        <w:widowControl w:val="off"/>
        <w:rPr>
          <w:rFonts w:cs="Times New Roman"/>
          <w:sz w:val="24"/>
          <w:highlight w:val="none"/>
        </w:rPr>
      </w:pPr>
      <w:r>
        <w:rPr>
          <w:rFonts w:hint="eastAsia" w:ascii="Times New Roman" w:hAnsi="Times New Roman" w:eastAsia="宋体" w:cs="Times New Roman"/>
          <w:color w:val="000000"/>
          <w:sz w:val="24"/>
          <w:highlight w:val="none"/>
        </w:rPr>
        <w:t xml:space="preserve">（9）</w:t>
      </w:r>
      <w:r>
        <w:rPr>
          <w:rFonts w:hint="eastAsia" w:cs="Times New Roman"/>
          <w:sz w:val="24"/>
          <w:highlight w:val="none"/>
        </w:rPr>
        <w:t xml:space="preserve">★</w:t>
      </w:r>
      <w:r>
        <w:rPr>
          <w:rFonts w:hint="eastAsia" w:ascii="Times New Roman" w:hAnsi="Times New Roman" w:eastAsia="宋体" w:cs="Times New Roman"/>
          <w:color w:val="000000"/>
          <w:sz w:val="24"/>
          <w:highlight w:val="none"/>
        </w:rPr>
        <w:t xml:space="preserve">支持对设备的通信方式、IP地址及传感器校准功能进行设置。</w:t>
      </w:r>
      <w:r/>
    </w:p>
    <w:p>
      <w:pPr>
        <w:ind w:firstLine="480"/>
        <w:spacing w:line="500" w:lineRule="exact"/>
        <w:widowControl w:val="off"/>
        <w:rPr>
          <w:rFonts w:cs="Times New Roman"/>
          <w:sz w:val="24"/>
          <w:highlight w:val="none"/>
        </w:rPr>
      </w:pPr>
      <w:r>
        <w:rPr>
          <w:rFonts w:hint="eastAsia" w:cs="Times New Roman"/>
          <w:sz w:val="24"/>
          <w:highlight w:val="none"/>
        </w:rPr>
        <w:t xml:space="preserve">（四）工作环境</w:t>
      </w:r>
      <w:r/>
    </w:p>
    <w:p>
      <w:pPr>
        <w:ind w:firstLine="480"/>
        <w:spacing w:line="500" w:lineRule="exact"/>
        <w:widowControl w:val="off"/>
        <w:rPr>
          <w:rFonts w:cs="Times New Roman"/>
          <w:sz w:val="24"/>
          <w:highlight w:val="none"/>
        </w:rPr>
      </w:pPr>
      <w:r>
        <w:rPr>
          <w:rFonts w:hint="eastAsia" w:cs="Times New Roman"/>
          <w:sz w:val="24"/>
          <w:highlight w:val="none"/>
        </w:rPr>
        <w:t xml:space="preserve">温度：≥-5～50℃；湿度：≥10%～90%RH。</w:t>
      </w:r>
      <w:r/>
    </w:p>
    <w:p>
      <w:pPr>
        <w:ind w:firstLine="480"/>
        <w:spacing w:line="500" w:lineRule="exact"/>
        <w:widowControl w:val="off"/>
        <w:rPr>
          <w:rFonts w:cs="Times New Roman"/>
          <w:b/>
          <w:bCs/>
          <w:i/>
          <w:iCs/>
          <w:highlight w:val="none"/>
          <w:u w:val="single"/>
        </w:rPr>
        <w:outlineLvl w:val="2"/>
      </w:pPr>
      <w:r>
        <w:rPr>
          <w:rFonts w:hint="eastAsia" w:cs="Times New Roman"/>
          <w:b/>
          <w:bCs/>
          <w:i/>
          <w:iCs/>
          <w:sz w:val="24"/>
          <w:highlight w:val="none"/>
          <w:u w:val="single"/>
        </w:rPr>
        <w:t xml:space="preserve">注：投标时须提供所投核心产品的实物照片及产品标牌信息照片（产品品牌、型号须与投标文件分项报价表中的品牌型号完全一致），供采购人备案。中标后供货产品应与投标文件中所附照片及标牌信息保持一致。</w:t>
      </w:r>
      <w:r/>
    </w:p>
    <w:p>
      <w:pPr>
        <w:spacing w:line="500" w:lineRule="exact"/>
        <w:widowControl w:val="off"/>
        <w:rPr>
          <w:rFonts w:cs="Times New Roman"/>
          <w:b/>
          <w:bCs/>
          <w:sz w:val="24"/>
        </w:rPr>
        <w:outlineLvl w:val="2"/>
      </w:pPr>
      <w:r>
        <w:rPr>
          <w:rFonts w:hint="eastAsia" w:cs="Times New Roman"/>
          <w:b/>
          <w:bCs/>
          <w:sz w:val="24"/>
        </w:rPr>
        <w:t xml:space="preserve">6、温湿度传感器探头</w:t>
      </w:r>
      <w:r/>
    </w:p>
    <w:p>
      <w:pPr>
        <w:ind w:firstLine="480"/>
        <w:spacing w:line="500" w:lineRule="exact"/>
        <w:widowControl w:val="off"/>
        <w:rPr>
          <w:rFonts w:cs="Times New Roman"/>
          <w:sz w:val="24"/>
        </w:rPr>
      </w:pPr>
      <w:r>
        <w:rPr>
          <w:rFonts w:hint="eastAsia" w:cs="Times New Roman"/>
          <w:sz w:val="24"/>
        </w:rPr>
        <w:t xml:space="preserve">（一）采集特性</w:t>
      </w:r>
      <w:r/>
    </w:p>
    <w:p>
      <w:pPr>
        <w:ind w:firstLine="480"/>
        <w:spacing w:line="500" w:lineRule="exact"/>
        <w:widowControl w:val="off"/>
        <w:rPr>
          <w:rFonts w:cs="Times New Roman"/>
          <w:sz w:val="24"/>
        </w:rPr>
      </w:pPr>
      <w:r>
        <w:rPr>
          <w:rFonts w:hint="eastAsia" w:cs="Times New Roman"/>
          <w:sz w:val="24"/>
        </w:rPr>
        <w:t xml:space="preserve">温度测量范围：≥-5～50℃；</w:t>
      </w:r>
      <w:r>
        <w:rPr>
          <w:rFonts w:hint="eastAsia" w:cs="Times New Roman"/>
          <w:sz w:val="24"/>
        </w:rPr>
        <w:tab/>
      </w:r>
      <w:r/>
    </w:p>
    <w:p>
      <w:pPr>
        <w:ind w:firstLine="480"/>
        <w:spacing w:line="500" w:lineRule="exact"/>
        <w:widowControl w:val="off"/>
        <w:rPr>
          <w:rFonts w:cs="Times New Roman"/>
          <w:sz w:val="24"/>
        </w:rPr>
      </w:pPr>
      <w:r>
        <w:rPr>
          <w:rFonts w:hint="eastAsia" w:cs="Times New Roman"/>
          <w:sz w:val="24"/>
        </w:rPr>
        <w:t xml:space="preserve">温度测量分辨率：0.1℃；</w:t>
      </w:r>
      <w:r/>
    </w:p>
    <w:p>
      <w:pPr>
        <w:ind w:firstLine="480"/>
        <w:spacing w:line="500" w:lineRule="exact"/>
        <w:widowControl w:val="off"/>
        <w:rPr>
          <w:rFonts w:cs="Times New Roman"/>
          <w:sz w:val="24"/>
        </w:rPr>
      </w:pPr>
      <w:r>
        <w:rPr>
          <w:rFonts w:hint="eastAsia" w:cs="Times New Roman"/>
          <w:sz w:val="24"/>
        </w:rPr>
        <w:t xml:space="preserve">温度测量准确度：≤±0.3℃（10℃～30℃）；±0.9℃（10℃以下或30℃以上）；</w:t>
      </w:r>
      <w:r/>
    </w:p>
    <w:p>
      <w:pPr>
        <w:ind w:firstLine="480"/>
        <w:spacing w:line="500" w:lineRule="exact"/>
        <w:widowControl w:val="off"/>
        <w:rPr>
          <w:rFonts w:cs="Times New Roman"/>
          <w:sz w:val="24"/>
        </w:rPr>
      </w:pPr>
      <w:r>
        <w:rPr>
          <w:rFonts w:hint="eastAsia" w:cs="Times New Roman"/>
          <w:sz w:val="24"/>
        </w:rPr>
        <w:t xml:space="preserve">湿度测量范围：≥10%RH～90%RH；</w:t>
      </w:r>
      <w:r/>
    </w:p>
    <w:p>
      <w:pPr>
        <w:ind w:firstLine="480"/>
        <w:spacing w:line="500" w:lineRule="exact"/>
        <w:widowControl w:val="off"/>
        <w:rPr>
          <w:rFonts w:cs="Times New Roman"/>
          <w:sz w:val="24"/>
        </w:rPr>
      </w:pPr>
      <w:r>
        <w:rPr>
          <w:rFonts w:hint="eastAsia" w:cs="Times New Roman"/>
          <w:sz w:val="24"/>
        </w:rPr>
        <w:t xml:space="preserve">湿度测量分辨率：0.1%RH；</w:t>
      </w:r>
      <w:r/>
    </w:p>
    <w:p>
      <w:pPr>
        <w:ind w:firstLine="480"/>
        <w:spacing w:line="500" w:lineRule="exact"/>
        <w:widowControl w:val="off"/>
        <w:rPr>
          <w:rFonts w:cs="Times New Roman"/>
          <w:sz w:val="24"/>
        </w:rPr>
      </w:pPr>
      <w:r>
        <w:rPr>
          <w:rFonts w:hint="eastAsia" w:cs="Times New Roman"/>
          <w:sz w:val="24"/>
        </w:rPr>
        <w:t xml:space="preserve">湿度测量准确度：≤±2%RH(40%RH~80%RH)，±4%RH(40%RH以下或80%RH以上)；</w:t>
      </w:r>
      <w:r/>
    </w:p>
    <w:p>
      <w:pPr>
        <w:ind w:firstLine="480"/>
        <w:spacing w:line="500" w:lineRule="exact"/>
        <w:widowControl w:val="off"/>
        <w:rPr>
          <w:rFonts w:cs="Times New Roman"/>
          <w:sz w:val="24"/>
        </w:rPr>
      </w:pPr>
      <w:r>
        <w:rPr>
          <w:rFonts w:hint="eastAsia" w:cs="Times New Roman"/>
          <w:sz w:val="24"/>
        </w:rPr>
        <w:t xml:space="preserve">支持采集周期10s～1h，可定义。</w:t>
      </w:r>
      <w:r/>
    </w:p>
    <w:p>
      <w:pPr>
        <w:ind w:firstLine="480"/>
        <w:spacing w:line="500" w:lineRule="exact"/>
        <w:widowControl w:val="off"/>
        <w:rPr>
          <w:rFonts w:cs="Times New Roman"/>
          <w:sz w:val="24"/>
        </w:rPr>
      </w:pPr>
      <w:r>
        <w:rPr>
          <w:rFonts w:hint="eastAsia" w:cs="Times New Roman"/>
          <w:sz w:val="24"/>
        </w:rPr>
        <w:t xml:space="preserve">（二）通信特性</w:t>
      </w:r>
      <w:r/>
    </w:p>
    <w:p>
      <w:pPr>
        <w:ind w:firstLine="480"/>
        <w:spacing w:line="500" w:lineRule="exact"/>
        <w:widowControl w:val="off"/>
        <w:rPr>
          <w:rFonts w:cs="Times New Roman"/>
          <w:sz w:val="24"/>
        </w:rPr>
      </w:pPr>
      <w:r>
        <w:rPr>
          <w:rFonts w:hint="eastAsia" w:cs="Times New Roman"/>
          <w:sz w:val="24"/>
        </w:rPr>
        <w:t xml:space="preserve">通信方式：有线 RS485；</w:t>
      </w:r>
      <w:r/>
    </w:p>
    <w:p>
      <w:pPr>
        <w:ind w:firstLine="480"/>
        <w:spacing w:line="500" w:lineRule="exact"/>
        <w:widowControl w:val="off"/>
        <w:rPr>
          <w:rFonts w:cs="Times New Roman"/>
          <w:sz w:val="24"/>
        </w:rPr>
      </w:pPr>
      <w:r>
        <w:rPr>
          <w:rFonts w:hint="eastAsia" w:cs="Times New Roman"/>
          <w:sz w:val="24"/>
        </w:rPr>
        <w:t xml:space="preserve">通信协议：MODBUS RTU；</w:t>
      </w:r>
      <w:r/>
    </w:p>
    <w:p>
      <w:pPr>
        <w:ind w:firstLine="480"/>
        <w:spacing w:line="500" w:lineRule="exact"/>
        <w:widowControl w:val="off"/>
        <w:rPr>
          <w:rFonts w:cs="Times New Roman"/>
          <w:sz w:val="24"/>
        </w:rPr>
      </w:pPr>
      <w:r>
        <w:rPr>
          <w:rFonts w:hint="eastAsia" w:cs="Times New Roman"/>
          <w:sz w:val="24"/>
        </w:rPr>
        <w:t xml:space="preserve">平均功耗：≤0.5W；</w:t>
      </w:r>
      <w:r/>
    </w:p>
    <w:p>
      <w:pPr>
        <w:ind w:firstLine="480"/>
        <w:spacing w:line="500" w:lineRule="exact"/>
        <w:widowControl w:val="off"/>
        <w:rPr>
          <w:rFonts w:cs="Times New Roman"/>
          <w:sz w:val="24"/>
        </w:rPr>
      </w:pPr>
      <w:r>
        <w:rPr>
          <w:rFonts w:hint="eastAsia" w:cs="Times New Roman"/>
          <w:sz w:val="24"/>
        </w:rPr>
        <w:t xml:space="preserve">传感器探头支持热插拔。</w:t>
      </w:r>
      <w:r/>
    </w:p>
    <w:p>
      <w:pPr>
        <w:spacing w:line="500" w:lineRule="exact"/>
        <w:widowControl w:val="off"/>
        <w:rPr>
          <w:rFonts w:cs="Times New Roman"/>
          <w:b/>
          <w:bCs/>
          <w:sz w:val="24"/>
        </w:rPr>
        <w:outlineLvl w:val="2"/>
      </w:pPr>
      <w:r>
        <w:rPr>
          <w:rFonts w:hint="eastAsia" w:cs="Times New Roman"/>
          <w:b/>
          <w:bCs/>
          <w:sz w:val="24"/>
        </w:rPr>
        <w:t xml:space="preserve">7、光照传感器探头</w:t>
      </w:r>
      <w:r/>
    </w:p>
    <w:p>
      <w:pPr>
        <w:ind w:firstLine="480"/>
        <w:spacing w:line="500" w:lineRule="exact"/>
        <w:widowControl w:val="off"/>
        <w:rPr>
          <w:rFonts w:cs="Times New Roman"/>
          <w:sz w:val="24"/>
        </w:rPr>
      </w:pPr>
      <w:r>
        <w:rPr>
          <w:rFonts w:hint="eastAsia" w:cs="Times New Roman"/>
          <w:sz w:val="24"/>
        </w:rPr>
        <w:t xml:space="preserve">（一）采集特性</w:t>
      </w:r>
      <w:r/>
    </w:p>
    <w:p>
      <w:pPr>
        <w:ind w:firstLine="480"/>
        <w:spacing w:line="500" w:lineRule="exact"/>
        <w:widowControl w:val="off"/>
        <w:rPr>
          <w:rFonts w:cs="Times New Roman"/>
          <w:sz w:val="24"/>
        </w:rPr>
      </w:pPr>
      <w:r>
        <w:rPr>
          <w:rFonts w:hint="eastAsia" w:cs="Times New Roman"/>
          <w:sz w:val="24"/>
        </w:rPr>
        <w:t xml:space="preserve">光照度测量范围：≥0.1～2000lx；</w:t>
      </w:r>
      <w:r/>
    </w:p>
    <w:p>
      <w:pPr>
        <w:ind w:firstLine="480"/>
        <w:spacing w:line="500" w:lineRule="exact"/>
        <w:widowControl w:val="off"/>
        <w:rPr>
          <w:rFonts w:cs="Times New Roman"/>
          <w:sz w:val="24"/>
        </w:rPr>
      </w:pPr>
      <w:r>
        <w:rPr>
          <w:rFonts w:hint="eastAsia" w:cs="Times New Roman"/>
          <w:sz w:val="24"/>
        </w:rPr>
        <w:t xml:space="preserve">光照度测量分辨率：0.06lx；</w:t>
      </w:r>
      <w:r/>
    </w:p>
    <w:p>
      <w:pPr>
        <w:ind w:firstLine="480"/>
        <w:spacing w:line="500" w:lineRule="exact"/>
        <w:widowControl w:val="off"/>
        <w:rPr>
          <w:rFonts w:cs="Times New Roman"/>
          <w:sz w:val="24"/>
        </w:rPr>
      </w:pPr>
      <w:r>
        <w:rPr>
          <w:rFonts w:hint="eastAsia" w:cs="Times New Roman"/>
          <w:sz w:val="24"/>
        </w:rPr>
        <w:t xml:space="preserve">光照度测量准确度：相对示值误差≤±4%；</w:t>
      </w:r>
      <w:r/>
    </w:p>
    <w:p>
      <w:pPr>
        <w:ind w:firstLine="480"/>
        <w:spacing w:line="500" w:lineRule="exact"/>
        <w:widowControl w:val="off"/>
        <w:rPr>
          <w:rFonts w:cs="Times New Roman"/>
          <w:sz w:val="24"/>
        </w:rPr>
      </w:pPr>
      <w:r>
        <w:rPr>
          <w:rFonts w:hint="eastAsia" w:cs="Times New Roman"/>
          <w:sz w:val="24"/>
        </w:rPr>
        <w:t xml:space="preserve">支持采集周期10s～1h，可定义。</w:t>
      </w:r>
      <w:r/>
    </w:p>
    <w:p>
      <w:pPr>
        <w:ind w:firstLine="480"/>
        <w:spacing w:line="500" w:lineRule="exact"/>
        <w:widowControl w:val="off"/>
        <w:rPr>
          <w:rFonts w:cs="Times New Roman"/>
          <w:sz w:val="24"/>
        </w:rPr>
      </w:pPr>
      <w:r>
        <w:rPr>
          <w:rFonts w:hint="eastAsia" w:cs="Times New Roman"/>
          <w:sz w:val="24"/>
        </w:rPr>
        <w:t xml:space="preserve">（二）通信特性</w:t>
      </w:r>
      <w:r/>
    </w:p>
    <w:p>
      <w:pPr>
        <w:ind w:firstLine="480"/>
        <w:spacing w:line="500" w:lineRule="exact"/>
        <w:widowControl w:val="off"/>
        <w:rPr>
          <w:rFonts w:cs="Times New Roman"/>
          <w:sz w:val="24"/>
        </w:rPr>
      </w:pPr>
      <w:r>
        <w:rPr>
          <w:rFonts w:hint="eastAsia" w:cs="Times New Roman"/>
          <w:sz w:val="24"/>
        </w:rPr>
        <w:t xml:space="preserve">通信方式：有线RS485；</w:t>
      </w:r>
      <w:r/>
    </w:p>
    <w:p>
      <w:pPr>
        <w:ind w:firstLine="480"/>
        <w:spacing w:line="500" w:lineRule="exact"/>
        <w:widowControl w:val="off"/>
        <w:rPr>
          <w:rFonts w:cs="Times New Roman"/>
          <w:sz w:val="24"/>
        </w:rPr>
      </w:pPr>
      <w:r>
        <w:rPr>
          <w:rFonts w:hint="eastAsia" w:cs="Times New Roman"/>
          <w:sz w:val="24"/>
        </w:rPr>
        <w:t xml:space="preserve">通信协议：MODBUS RTU；</w:t>
      </w:r>
      <w:r/>
    </w:p>
    <w:p>
      <w:pPr>
        <w:ind w:firstLine="480"/>
        <w:spacing w:line="500" w:lineRule="exact"/>
        <w:widowControl w:val="off"/>
        <w:rPr>
          <w:rFonts w:cs="Times New Roman"/>
          <w:sz w:val="24"/>
        </w:rPr>
      </w:pPr>
      <w:r>
        <w:rPr>
          <w:rFonts w:hint="eastAsia" w:cs="Times New Roman"/>
          <w:sz w:val="24"/>
        </w:rPr>
        <w:t xml:space="preserve">平均功耗：≤1W；</w:t>
      </w:r>
      <w:r/>
    </w:p>
    <w:p>
      <w:pPr>
        <w:ind w:firstLine="480"/>
        <w:spacing w:line="500" w:lineRule="exact"/>
        <w:widowControl w:val="off"/>
        <w:rPr>
          <w:rFonts w:cs="Times New Roman"/>
          <w:sz w:val="24"/>
        </w:rPr>
      </w:pPr>
      <w:r>
        <w:rPr>
          <w:rFonts w:hint="eastAsia" w:cs="Times New Roman"/>
          <w:sz w:val="24"/>
        </w:rPr>
        <w:t xml:space="preserve">传感器探头支持热插拔。</w:t>
      </w:r>
      <w:r/>
    </w:p>
    <w:p>
      <w:pPr>
        <w:spacing w:line="500" w:lineRule="exact"/>
        <w:widowControl w:val="off"/>
        <w:rPr>
          <w:rFonts w:cs="Times New Roman"/>
          <w:b/>
          <w:bCs/>
          <w:sz w:val="24"/>
        </w:rPr>
        <w:outlineLvl w:val="2"/>
      </w:pPr>
      <w:r>
        <w:rPr>
          <w:rFonts w:hint="eastAsia" w:cs="Times New Roman"/>
          <w:b/>
          <w:bCs/>
          <w:sz w:val="24"/>
        </w:rPr>
        <w:t xml:space="preserve">8、展柜恒湿机电气安全监测模块</w:t>
      </w:r>
      <w:r/>
    </w:p>
    <w:p>
      <w:pPr>
        <w:ind w:firstLine="480"/>
        <w:spacing w:line="500" w:lineRule="exact"/>
        <w:widowControl w:val="off"/>
        <w:rPr>
          <w:rFonts w:cs="Times New Roman"/>
          <w:sz w:val="24"/>
        </w:rPr>
      </w:pPr>
      <w:r>
        <w:rPr>
          <w:rFonts w:hint="eastAsia" w:cs="Times New Roman"/>
          <w:sz w:val="24"/>
        </w:rPr>
        <w:t xml:space="preserve">（一）</w:t>
      </w:r>
      <w:r>
        <w:rPr>
          <w:rFonts w:hint="eastAsia" w:cs="Times New Roman"/>
          <w:sz w:val="24"/>
        </w:rPr>
        <w:tab/>
      </w:r>
      <w:r>
        <w:rPr>
          <w:rFonts w:hint="eastAsia" w:cs="Times New Roman"/>
          <w:sz w:val="24"/>
        </w:rPr>
        <w:t xml:space="preserve">性能指标</w:t>
      </w:r>
      <w:r/>
    </w:p>
    <w:p>
      <w:pPr>
        <w:ind w:firstLine="480"/>
        <w:spacing w:line="500" w:lineRule="exact"/>
        <w:widowControl w:val="off"/>
        <w:rPr>
          <w:rFonts w:cs="Times New Roman"/>
          <w:sz w:val="24"/>
        </w:rPr>
      </w:pPr>
      <w:r>
        <w:rPr>
          <w:rFonts w:hint="eastAsia" w:cs="Times New Roman"/>
          <w:sz w:val="24"/>
        </w:rPr>
        <w:t xml:space="preserve">高精度电参数计量功能：电压、电流、功率0.5级；电能计量1级别：</w:t>
      </w:r>
      <w:r/>
    </w:p>
    <w:p>
      <w:pPr>
        <w:ind w:firstLine="480"/>
        <w:spacing w:line="500" w:lineRule="exact"/>
        <w:widowControl w:val="off"/>
        <w:rPr>
          <w:rFonts w:cs="Times New Roman"/>
          <w:sz w:val="24"/>
        </w:rPr>
      </w:pPr>
      <w:r>
        <w:rPr>
          <w:rFonts w:hint="eastAsia" w:cs="Times New Roman"/>
          <w:sz w:val="24"/>
        </w:rPr>
        <w:t xml:space="preserve">过载、短路保护特性：三段保护。</w:t>
      </w:r>
      <w:r/>
    </w:p>
    <w:p>
      <w:pPr>
        <w:ind w:firstLine="480"/>
        <w:spacing w:line="500" w:lineRule="exact"/>
        <w:widowControl w:val="off"/>
        <w:rPr>
          <w:rFonts w:cs="Times New Roman"/>
          <w:sz w:val="24"/>
        </w:rPr>
      </w:pPr>
      <w:r>
        <w:rPr>
          <w:rFonts w:hint="eastAsia" w:cs="Times New Roman"/>
          <w:sz w:val="24"/>
        </w:rPr>
        <w:t xml:space="preserve">联控延迟：≤3000ms；</w:t>
      </w:r>
      <w:r/>
    </w:p>
    <w:p>
      <w:pPr>
        <w:ind w:firstLine="480"/>
        <w:spacing w:line="500" w:lineRule="exact"/>
        <w:widowControl w:val="off"/>
        <w:rPr>
          <w:rFonts w:cs="Times New Roman"/>
          <w:sz w:val="24"/>
        </w:rPr>
      </w:pPr>
      <w:r>
        <w:rPr>
          <w:rFonts w:hint="eastAsia" w:cs="Times New Roman"/>
          <w:sz w:val="24"/>
        </w:rPr>
        <w:t xml:space="preserve">通讯延迟：≤500ms；</w:t>
      </w:r>
      <w:r/>
    </w:p>
    <w:p>
      <w:pPr>
        <w:ind w:firstLine="480"/>
        <w:spacing w:line="500" w:lineRule="exact"/>
        <w:widowControl w:val="off"/>
        <w:rPr>
          <w:rFonts w:cs="Times New Roman"/>
          <w:sz w:val="24"/>
        </w:rPr>
      </w:pPr>
      <w:r>
        <w:rPr>
          <w:rFonts w:hint="eastAsia" w:cs="Times New Roman"/>
          <w:sz w:val="24"/>
        </w:rPr>
        <w:t xml:space="preserve">通用保护功能：电能质量分析功能；波形显示功能；故障记录统计功能。</w:t>
      </w:r>
      <w:r/>
    </w:p>
    <w:p>
      <w:pPr>
        <w:ind w:firstLine="480"/>
        <w:spacing w:line="500" w:lineRule="exact"/>
        <w:widowControl w:val="off"/>
        <w:rPr>
          <w:rFonts w:cs="Times New Roman"/>
          <w:sz w:val="24"/>
        </w:rPr>
      </w:pPr>
      <w:r>
        <w:rPr>
          <w:rFonts w:hint="eastAsia" w:cs="Times New Roman"/>
          <w:sz w:val="24"/>
        </w:rPr>
        <w:t xml:space="preserve">（二）</w:t>
      </w:r>
      <w:r>
        <w:rPr>
          <w:rFonts w:hint="eastAsia" w:cs="Times New Roman"/>
          <w:sz w:val="24"/>
        </w:rPr>
        <w:tab/>
      </w:r>
      <w:r>
        <w:rPr>
          <w:rFonts w:hint="eastAsia" w:cs="Times New Roman"/>
          <w:sz w:val="24"/>
        </w:rPr>
        <w:t xml:space="preserve">报警参数</w:t>
      </w:r>
      <w:r/>
    </w:p>
    <w:p>
      <w:pPr>
        <w:ind w:firstLine="480"/>
        <w:spacing w:line="500" w:lineRule="exact"/>
        <w:widowControl w:val="off"/>
        <w:rPr>
          <w:rFonts w:cs="Times New Roman"/>
          <w:sz w:val="24"/>
        </w:rPr>
      </w:pPr>
      <w:r>
        <w:rPr>
          <w:rFonts w:hint="eastAsia" w:cs="Times New Roman"/>
          <w:sz w:val="24"/>
        </w:rPr>
        <w:t xml:space="preserve">过压延时：100ms~10000ms；</w:t>
      </w:r>
      <w:r/>
    </w:p>
    <w:p>
      <w:pPr>
        <w:ind w:firstLine="480"/>
        <w:spacing w:line="500" w:lineRule="exact"/>
        <w:widowControl w:val="off"/>
        <w:rPr>
          <w:rFonts w:cs="Times New Roman"/>
          <w:sz w:val="24"/>
        </w:rPr>
      </w:pPr>
      <w:r>
        <w:rPr>
          <w:rFonts w:hint="eastAsia" w:cs="Times New Roman"/>
          <w:sz w:val="24"/>
        </w:rPr>
        <w:t xml:space="preserve">过压报警：100V~350V；</w:t>
      </w:r>
      <w:r/>
    </w:p>
    <w:p>
      <w:pPr>
        <w:ind w:firstLine="480"/>
        <w:spacing w:line="500" w:lineRule="exact"/>
        <w:widowControl w:val="off"/>
        <w:rPr>
          <w:rFonts w:cs="Times New Roman"/>
          <w:sz w:val="24"/>
        </w:rPr>
      </w:pPr>
      <w:r>
        <w:rPr>
          <w:rFonts w:hint="eastAsia" w:cs="Times New Roman"/>
          <w:sz w:val="24"/>
        </w:rPr>
        <w:t xml:space="preserve">欠压延时：100ms~15000ms；</w:t>
      </w:r>
      <w:r/>
    </w:p>
    <w:p>
      <w:pPr>
        <w:ind w:firstLine="480"/>
        <w:spacing w:line="500" w:lineRule="exact"/>
        <w:widowControl w:val="off"/>
        <w:rPr>
          <w:rFonts w:cs="Times New Roman"/>
          <w:sz w:val="24"/>
        </w:rPr>
      </w:pPr>
      <w:r>
        <w:rPr>
          <w:rFonts w:hint="eastAsia" w:cs="Times New Roman"/>
          <w:sz w:val="24"/>
        </w:rPr>
        <w:t xml:space="preserve">欠压报警：80V~220V；</w:t>
      </w:r>
      <w:r/>
    </w:p>
    <w:p>
      <w:pPr>
        <w:ind w:firstLine="480"/>
        <w:spacing w:line="500" w:lineRule="exact"/>
        <w:widowControl w:val="off"/>
        <w:rPr>
          <w:rFonts w:cs="Times New Roman"/>
          <w:sz w:val="24"/>
        </w:rPr>
      </w:pPr>
      <w:r>
        <w:rPr>
          <w:rFonts w:hint="eastAsia" w:cs="Times New Roman"/>
          <w:sz w:val="24"/>
        </w:rPr>
        <w:t xml:space="preserve">电流超限报警：5A~150A；</w:t>
      </w:r>
      <w:r/>
    </w:p>
    <w:p>
      <w:pPr>
        <w:ind w:firstLine="480"/>
        <w:spacing w:line="500" w:lineRule="exact"/>
        <w:widowControl w:val="off"/>
        <w:rPr>
          <w:rFonts w:cs="Times New Roman"/>
          <w:sz w:val="24"/>
        </w:rPr>
      </w:pPr>
      <w:r>
        <w:rPr>
          <w:rFonts w:hint="eastAsia" w:cs="Times New Roman"/>
          <w:sz w:val="24"/>
        </w:rPr>
        <w:t xml:space="preserve">瞬时短路lr3：4lr1~14lr1；</w:t>
      </w:r>
      <w:r/>
    </w:p>
    <w:p>
      <w:pPr>
        <w:ind w:firstLine="480"/>
        <w:spacing w:line="500" w:lineRule="exact"/>
        <w:widowControl w:val="off"/>
        <w:rPr>
          <w:rFonts w:cs="Times New Roman"/>
          <w:sz w:val="24"/>
        </w:rPr>
      </w:pPr>
      <w:r>
        <w:rPr>
          <w:rFonts w:hint="eastAsia" w:cs="Times New Roman"/>
          <w:sz w:val="24"/>
        </w:rPr>
        <w:t xml:space="preserve">过载报警：300W~82.5Kw；</w:t>
      </w:r>
      <w:r/>
    </w:p>
    <w:p>
      <w:pPr>
        <w:ind w:firstLine="480"/>
        <w:spacing w:line="500" w:lineRule="exact"/>
        <w:widowControl w:val="off"/>
        <w:rPr>
          <w:rFonts w:cs="Times New Roman"/>
          <w:sz w:val="24"/>
        </w:rPr>
      </w:pPr>
      <w:r>
        <w:rPr>
          <w:rFonts w:hint="eastAsia" w:cs="Times New Roman"/>
          <w:sz w:val="24"/>
        </w:rPr>
        <w:t xml:space="preserve">过温报警：10℃~140℃；</w:t>
      </w:r>
      <w:r/>
    </w:p>
    <w:p>
      <w:pPr>
        <w:ind w:firstLine="480"/>
        <w:spacing w:line="500" w:lineRule="exact"/>
        <w:widowControl w:val="off"/>
        <w:rPr>
          <w:rFonts w:cs="Times New Roman"/>
          <w:sz w:val="24"/>
        </w:rPr>
      </w:pPr>
      <w:r>
        <w:rPr>
          <w:rFonts w:hint="eastAsia" w:cs="Times New Roman"/>
          <w:sz w:val="24"/>
        </w:rPr>
        <w:t xml:space="preserve">剩余电流报警：30mA~1000mA ；</w:t>
      </w:r>
      <w:r/>
    </w:p>
    <w:p>
      <w:pPr>
        <w:ind w:firstLine="480"/>
        <w:spacing w:line="500" w:lineRule="exact"/>
        <w:widowControl w:val="off"/>
        <w:rPr>
          <w:rFonts w:cs="Times New Roman"/>
          <w:sz w:val="24"/>
        </w:rPr>
      </w:pPr>
      <w:r>
        <w:rPr>
          <w:rFonts w:hint="eastAsia" w:cs="Times New Roman"/>
          <w:sz w:val="24"/>
        </w:rPr>
        <w:t xml:space="preserve">（三）通信特性</w:t>
      </w:r>
      <w:r/>
    </w:p>
    <w:p>
      <w:pPr>
        <w:ind w:firstLine="480"/>
        <w:spacing w:line="500" w:lineRule="exact"/>
        <w:widowControl w:val="off"/>
        <w:rPr>
          <w:rFonts w:cs="Times New Roman"/>
          <w:sz w:val="24"/>
        </w:rPr>
      </w:pPr>
      <w:r>
        <w:rPr>
          <w:rFonts w:hint="eastAsia" w:cs="Times New Roman"/>
          <w:sz w:val="24"/>
        </w:rPr>
        <w:t xml:space="preserve">通讯方式：有线 RS485；</w:t>
      </w:r>
      <w:r/>
    </w:p>
    <w:p>
      <w:pPr>
        <w:ind w:firstLine="480"/>
        <w:spacing w:line="500" w:lineRule="exact"/>
        <w:widowControl w:val="off"/>
        <w:rPr>
          <w:rFonts w:cs="Times New Roman"/>
          <w:sz w:val="24"/>
        </w:rPr>
      </w:pPr>
      <w:r>
        <w:rPr>
          <w:rFonts w:hint="eastAsia" w:cs="Times New Roman"/>
          <w:sz w:val="24"/>
        </w:rPr>
        <w:t xml:space="preserve">通讯协议：MODBUS RTU。</w:t>
      </w:r>
      <w:r/>
    </w:p>
    <w:p>
      <w:pPr>
        <w:spacing w:line="500" w:lineRule="exact"/>
        <w:widowControl w:val="off"/>
        <w:rPr>
          <w:rFonts w:cs="Times New Roman"/>
          <w:b/>
          <w:bCs/>
          <w:sz w:val="24"/>
        </w:rPr>
        <w:outlineLvl w:val="2"/>
      </w:pPr>
      <w:r>
        <w:rPr>
          <w:rFonts w:hint="eastAsia" w:cs="Times New Roman"/>
          <w:b/>
          <w:bCs/>
          <w:sz w:val="24"/>
        </w:rPr>
        <w:t xml:space="preserve">9、无线网关设备</w:t>
      </w:r>
      <w:r/>
    </w:p>
    <w:p>
      <w:pPr>
        <w:ind w:firstLine="480"/>
        <w:spacing w:line="500" w:lineRule="exact"/>
        <w:widowControl w:val="off"/>
        <w:rPr>
          <w:rFonts w:cs="Times New Roman"/>
          <w:sz w:val="24"/>
        </w:rPr>
      </w:pPr>
      <w:r>
        <w:rPr>
          <w:rFonts w:hint="eastAsia" w:cs="Times New Roman"/>
          <w:sz w:val="24"/>
        </w:rPr>
        <w:t xml:space="preserve">（一）电源</w:t>
      </w:r>
      <w:r>
        <w:rPr>
          <w:rFonts w:hint="eastAsia" w:cs="Times New Roman"/>
          <w:sz w:val="24"/>
        </w:rPr>
        <w:tab/>
      </w:r>
      <w:r/>
    </w:p>
    <w:p>
      <w:pPr>
        <w:ind w:firstLine="480"/>
        <w:spacing w:line="500" w:lineRule="exact"/>
        <w:widowControl w:val="off"/>
        <w:rPr>
          <w:rFonts w:cs="Times New Roman"/>
          <w:sz w:val="24"/>
        </w:rPr>
      </w:pPr>
      <w:r>
        <w:rPr>
          <w:rFonts w:hint="eastAsia" w:cs="Times New Roman"/>
          <w:sz w:val="24"/>
        </w:rPr>
        <w:t xml:space="preserve">DC12V。</w:t>
      </w:r>
      <w:r/>
    </w:p>
    <w:p>
      <w:pPr>
        <w:ind w:firstLine="480"/>
        <w:spacing w:line="500" w:lineRule="exact"/>
        <w:widowControl w:val="off"/>
        <w:rPr>
          <w:rFonts w:cs="Times New Roman"/>
          <w:sz w:val="24"/>
        </w:rPr>
      </w:pPr>
      <w:r>
        <w:rPr>
          <w:rFonts w:hint="eastAsia" w:cs="Times New Roman"/>
          <w:sz w:val="24"/>
        </w:rPr>
        <w:t xml:space="preserve">（二）通信特性</w:t>
      </w:r>
      <w:r>
        <w:rPr>
          <w:rFonts w:hint="eastAsia" w:cs="Times New Roman"/>
          <w:sz w:val="24"/>
        </w:rPr>
        <w:tab/>
      </w:r>
      <w:r/>
    </w:p>
    <w:p>
      <w:pPr>
        <w:ind w:firstLine="480"/>
        <w:spacing w:line="500" w:lineRule="exact"/>
        <w:widowControl w:val="off"/>
        <w:rPr>
          <w:rFonts w:cs="Times New Roman"/>
          <w:sz w:val="24"/>
        </w:rPr>
      </w:pPr>
      <w:r>
        <w:rPr>
          <w:rFonts w:hint="eastAsia" w:cs="Times New Roman"/>
          <w:sz w:val="24"/>
        </w:rPr>
        <w:t xml:space="preserve">（1）WAN口</w:t>
      </w:r>
      <w:r/>
    </w:p>
    <w:p>
      <w:pPr>
        <w:ind w:firstLine="480"/>
        <w:spacing w:line="500" w:lineRule="exact"/>
        <w:widowControl w:val="off"/>
        <w:rPr>
          <w:rFonts w:cs="Times New Roman"/>
          <w:sz w:val="24"/>
        </w:rPr>
      </w:pPr>
      <w:r>
        <w:rPr>
          <w:rFonts w:hint="eastAsia" w:cs="Times New Roman"/>
          <w:sz w:val="24"/>
        </w:rPr>
        <w:t xml:space="preserve">以太网 / 移动网络（4G）/ WiFi：</w:t>
      </w:r>
      <w:r/>
    </w:p>
    <w:p>
      <w:pPr>
        <w:ind w:firstLine="480"/>
        <w:spacing w:line="500" w:lineRule="exact"/>
        <w:widowControl w:val="off"/>
        <w:rPr>
          <w:rFonts w:cs="Times New Roman"/>
          <w:sz w:val="24"/>
        </w:rPr>
      </w:pPr>
      <w:r>
        <w:rPr>
          <w:rFonts w:hint="eastAsia" w:cs="Times New Roman"/>
          <w:sz w:val="24"/>
        </w:rPr>
        <w:t xml:space="preserve">域名解析：支持；</w:t>
      </w:r>
      <w:r/>
    </w:p>
    <w:p>
      <w:pPr>
        <w:ind w:firstLine="480"/>
        <w:spacing w:line="500" w:lineRule="exact"/>
        <w:widowControl w:val="off"/>
        <w:rPr>
          <w:rFonts w:cs="Times New Roman"/>
          <w:sz w:val="24"/>
        </w:rPr>
      </w:pPr>
      <w:r>
        <w:rPr>
          <w:rFonts w:hint="eastAsia" w:cs="Times New Roman"/>
          <w:sz w:val="24"/>
        </w:rPr>
        <w:t xml:space="preserve">远程登录调试：支持；</w:t>
      </w:r>
      <w:r/>
    </w:p>
    <w:p>
      <w:pPr>
        <w:ind w:firstLine="480"/>
        <w:spacing w:line="500" w:lineRule="exact"/>
        <w:widowControl w:val="off"/>
        <w:rPr>
          <w:rFonts w:cs="Times New Roman"/>
          <w:sz w:val="24"/>
          <w:highlight w:val="none"/>
        </w:rPr>
      </w:pPr>
      <w:r>
        <w:rPr>
          <w:rFonts w:hint="eastAsia" w:cs="Times New Roman"/>
          <w:sz w:val="24"/>
          <w:highlight w:val="none"/>
        </w:rPr>
        <w:t xml:space="preserve">远程固件升级：支持；</w:t>
      </w:r>
      <w:r/>
    </w:p>
    <w:p>
      <w:pPr>
        <w:ind w:firstLine="480"/>
        <w:spacing w:line="500" w:lineRule="exact"/>
        <w:widowControl w:val="off"/>
        <w:rPr>
          <w:rFonts w:cs="Times New Roman"/>
          <w:sz w:val="24"/>
          <w:highlight w:val="none"/>
        </w:rPr>
      </w:pPr>
      <w:r>
        <w:rPr>
          <w:rFonts w:hint="eastAsia" w:cs="Times New Roman"/>
          <w:sz w:val="24"/>
          <w:highlight w:val="none"/>
        </w:rPr>
        <w:t xml:space="preserve">加密通讯：支持；</w:t>
      </w:r>
      <w:r/>
    </w:p>
    <w:p>
      <w:pPr>
        <w:ind w:firstLine="480"/>
        <w:spacing w:line="500" w:lineRule="exact"/>
        <w:widowControl w:val="off"/>
        <w:rPr>
          <w:rFonts w:cs="Times New Roman"/>
          <w:sz w:val="24"/>
          <w:highlight w:val="none"/>
        </w:rPr>
      </w:pPr>
      <w:r>
        <w:rPr>
          <w:rFonts w:hint="eastAsia" w:cs="Times New Roman"/>
          <w:sz w:val="24"/>
          <w:highlight w:val="none"/>
        </w:rPr>
        <w:t xml:space="preserve">（2）无线通信</w:t>
      </w:r>
      <w:r/>
    </w:p>
    <w:p>
      <w:pPr>
        <w:ind w:firstLine="480"/>
        <w:spacing w:line="500" w:lineRule="exact"/>
        <w:widowControl w:val="off"/>
        <w:rPr>
          <w:rFonts w:cs="Times New Roman"/>
          <w:sz w:val="24"/>
          <w:highlight w:val="none"/>
        </w:rPr>
      </w:pPr>
      <w:r>
        <w:rPr>
          <w:rFonts w:hint="eastAsia" w:cs="Times New Roman"/>
          <w:sz w:val="24"/>
          <w:highlight w:val="none"/>
        </w:rPr>
        <w:t xml:space="preserve">射频频率：433MHz或国家其他免费工业频段；</w:t>
      </w:r>
      <w:r/>
    </w:p>
    <w:p>
      <w:pPr>
        <w:ind w:firstLine="480"/>
        <w:spacing w:line="500" w:lineRule="exact"/>
        <w:widowControl w:val="off"/>
        <w:rPr>
          <w:rFonts w:cs="Times New Roman"/>
          <w:sz w:val="24"/>
          <w:highlight w:val="none"/>
        </w:rPr>
      </w:pPr>
      <w:r>
        <w:rPr>
          <w:rFonts w:hint="eastAsia" w:cs="Times New Roman"/>
          <w:sz w:val="24"/>
          <w:highlight w:val="none"/>
        </w:rPr>
        <w:t xml:space="preserve">天线类型：内置或外置天线；</w:t>
      </w:r>
      <w:r/>
    </w:p>
    <w:p>
      <w:pPr>
        <w:ind w:firstLine="480"/>
        <w:spacing w:line="500" w:lineRule="exact"/>
        <w:widowControl w:val="off"/>
        <w:rPr>
          <w:rFonts w:cs="Times New Roman"/>
          <w:sz w:val="24"/>
          <w:highlight w:val="none"/>
        </w:rPr>
      </w:pPr>
      <w:r>
        <w:rPr>
          <w:rFonts w:hint="eastAsia" w:cs="Times New Roman"/>
          <w:sz w:val="24"/>
          <w:highlight w:val="none"/>
        </w:rPr>
        <w:t xml:space="preserve">发射功率：+17dBm；</w:t>
      </w:r>
      <w:r/>
    </w:p>
    <w:p>
      <w:pPr>
        <w:ind w:firstLine="480"/>
        <w:spacing w:line="500" w:lineRule="exact"/>
        <w:widowControl w:val="off"/>
        <w:rPr>
          <w:rFonts w:cs="Times New Roman"/>
          <w:sz w:val="24"/>
          <w:highlight w:val="none"/>
        </w:rPr>
      </w:pPr>
      <w:r>
        <w:rPr>
          <w:rFonts w:hint="eastAsia" w:cs="Times New Roman"/>
          <w:sz w:val="24"/>
          <w:highlight w:val="none"/>
        </w:rPr>
        <w:t xml:space="preserve">最大传输距离：≥800m（室外可视距离，无路由）；</w:t>
      </w:r>
      <w:r/>
    </w:p>
    <w:p>
      <w:pPr>
        <w:ind w:firstLine="480"/>
        <w:spacing w:line="500" w:lineRule="exact"/>
        <w:widowControl w:val="off"/>
        <w:rPr>
          <w:rFonts w:cs="Times New Roman"/>
          <w:sz w:val="24"/>
          <w:highlight w:val="none"/>
        </w:rPr>
      </w:pPr>
      <w:r>
        <w:rPr>
          <w:rFonts w:hint="eastAsia" w:cs="Times New Roman"/>
          <w:sz w:val="24"/>
          <w:highlight w:val="none"/>
        </w:rPr>
        <w:t xml:space="preserve">组网形式：多路由自组网，路径自动发现，自动修复。</w:t>
      </w:r>
      <w:r/>
    </w:p>
    <w:p>
      <w:pPr>
        <w:ind w:firstLine="480"/>
        <w:spacing w:line="500" w:lineRule="exact"/>
        <w:widowControl w:val="off"/>
        <w:rPr>
          <w:rFonts w:cs="Times New Roman"/>
          <w:sz w:val="24"/>
          <w:highlight w:val="none"/>
        </w:rPr>
      </w:pPr>
      <w:r>
        <w:rPr>
          <w:rFonts w:hint="eastAsia" w:cs="Times New Roman"/>
          <w:sz w:val="24"/>
          <w:highlight w:val="none"/>
        </w:rPr>
        <w:t xml:space="preserve">（3）▲设备支持通过三种及以上加密算法对上行和下行数据链路数据进行加密、解密。</w:t>
      </w:r>
      <w:r/>
    </w:p>
    <w:p>
      <w:pPr>
        <w:ind w:firstLine="480"/>
        <w:spacing w:line="500" w:lineRule="exact"/>
        <w:widowControl w:val="off"/>
        <w:rPr>
          <w:rFonts w:cs="Times New Roman"/>
          <w:sz w:val="24"/>
          <w:highlight w:val="none"/>
        </w:rPr>
      </w:pPr>
      <w:r>
        <w:rPr>
          <w:rFonts w:hint="eastAsia" w:cs="Times New Roman"/>
          <w:sz w:val="24"/>
          <w:highlight w:val="none"/>
        </w:rPr>
        <w:t xml:space="preserve">（三）功能特性</w:t>
      </w:r>
      <w:r/>
    </w:p>
    <w:p>
      <w:pPr>
        <w:ind w:firstLine="480"/>
        <w:spacing w:line="500" w:lineRule="exact"/>
        <w:widowControl w:val="off"/>
        <w:rPr>
          <w:rFonts w:cs="Times New Roman"/>
          <w:sz w:val="24"/>
          <w:highlight w:val="none"/>
        </w:rPr>
      </w:pPr>
      <w:r>
        <w:rPr>
          <w:rFonts w:hint="eastAsia" w:cs="Times New Roman"/>
          <w:sz w:val="24"/>
          <w:highlight w:val="none"/>
        </w:rPr>
        <w:t xml:space="preserve">（1）▲支持最多64台设备连接和管理。</w:t>
      </w:r>
      <w:r/>
    </w:p>
    <w:p>
      <w:pPr>
        <w:ind w:firstLine="480"/>
        <w:spacing w:line="500" w:lineRule="exact"/>
        <w:widowControl w:val="off"/>
        <w:rPr>
          <w:rFonts w:cs="Times New Roman"/>
          <w:sz w:val="24"/>
          <w:highlight w:val="none"/>
        </w:rPr>
      </w:pPr>
      <w:r>
        <w:rPr>
          <w:rFonts w:hint="eastAsia" w:cs="Times New Roman"/>
          <w:sz w:val="24"/>
          <w:highlight w:val="none"/>
        </w:rPr>
        <w:t xml:space="preserve">（2）▲设备管理支持设备在线离线监测、设备电量监测、无线信号质量检测等功能。</w:t>
      </w:r>
      <w:r/>
    </w:p>
    <w:p>
      <w:pPr>
        <w:ind w:firstLine="480"/>
        <w:spacing w:line="500" w:lineRule="exact"/>
        <w:widowControl w:val="off"/>
        <w:rPr>
          <w:rFonts w:cs="Times New Roman"/>
          <w:sz w:val="24"/>
          <w:highlight w:val="none"/>
        </w:rPr>
      </w:pPr>
      <w:r>
        <w:rPr>
          <w:rFonts w:hint="eastAsia" w:cs="Times New Roman"/>
          <w:sz w:val="24"/>
          <w:highlight w:val="none"/>
        </w:rPr>
        <w:t xml:space="preserve">（3）支持指示系统运行、网络连接、剩余电量等状态。</w:t>
      </w:r>
      <w:r/>
    </w:p>
    <w:p>
      <w:pPr>
        <w:ind w:firstLine="480"/>
        <w:spacing w:line="500" w:lineRule="exact"/>
        <w:widowControl w:val="off"/>
        <w:rPr>
          <w:rFonts w:cs="Times New Roman"/>
          <w:sz w:val="24"/>
          <w:highlight w:val="none"/>
        </w:rPr>
      </w:pPr>
      <w:r>
        <w:rPr>
          <w:rFonts w:hint="eastAsia" w:cs="Times New Roman"/>
          <w:sz w:val="24"/>
          <w:highlight w:val="none"/>
        </w:rPr>
        <w:t xml:space="preserve">（4）▲设备掉电状态下，具有当前动态运行参数的本地存储功能。</w:t>
      </w:r>
      <w:r/>
    </w:p>
    <w:p>
      <w:pPr>
        <w:ind w:firstLine="480"/>
        <w:spacing w:line="500" w:lineRule="exact"/>
        <w:widowControl w:val="off"/>
        <w:rPr>
          <w:rFonts w:cs="Times New Roman"/>
          <w:sz w:val="24"/>
          <w:highlight w:val="none"/>
        </w:rPr>
      </w:pPr>
      <w:r>
        <w:rPr>
          <w:rFonts w:hint="eastAsia" w:cs="Times New Roman"/>
          <w:sz w:val="24"/>
          <w:highlight w:val="none"/>
        </w:rPr>
        <w:t xml:space="preserve">（5）▲设备采用安全设计，通过ia保护等级的防爆安全认证。</w:t>
      </w:r>
      <w:r/>
    </w:p>
    <w:p>
      <w:pPr>
        <w:ind w:firstLine="480"/>
        <w:spacing w:line="500" w:lineRule="exact"/>
        <w:widowControl w:val="off"/>
        <w:rPr>
          <w:rFonts w:cs="Times New Roman"/>
          <w:sz w:val="24"/>
          <w:highlight w:val="none"/>
        </w:rPr>
      </w:pPr>
      <w:r>
        <w:rPr>
          <w:rFonts w:hint="eastAsia" w:cs="Times New Roman"/>
          <w:sz w:val="24"/>
          <w:highlight w:val="none"/>
        </w:rPr>
        <w:t xml:space="preserve">（四）工作环境 </w:t>
      </w:r>
      <w:r/>
    </w:p>
    <w:p>
      <w:pPr>
        <w:ind w:firstLine="480"/>
        <w:spacing w:line="500" w:lineRule="exact"/>
        <w:widowControl w:val="off"/>
        <w:rPr>
          <w:rFonts w:cs="Times New Roman"/>
          <w:i/>
          <w:iCs/>
          <w:sz w:val="24"/>
          <w:highlight w:val="none"/>
          <w:u w:val="single"/>
        </w:rPr>
      </w:pPr>
      <w:r>
        <w:rPr>
          <w:rFonts w:hint="eastAsia" w:cs="Times New Roman"/>
          <w:i/>
          <w:iCs/>
          <w:sz w:val="24"/>
          <w:highlight w:val="none"/>
          <w:u w:val="single"/>
        </w:rPr>
        <w:t xml:space="preserve">温度：≥-20℃～+80℃；湿度：≥0～90%RH（非冷凝）。</w:t>
      </w:r>
      <w:r/>
    </w:p>
    <w:p>
      <w:pPr>
        <w:spacing w:line="500" w:lineRule="exact"/>
        <w:widowControl w:val="off"/>
        <w:rPr>
          <w:rFonts w:cs="Times New Roman"/>
          <w:b/>
          <w:bCs/>
          <w:sz w:val="24"/>
          <w:highlight w:val="none"/>
        </w:rPr>
        <w:outlineLvl w:val="2"/>
      </w:pPr>
      <w:r>
        <w:rPr>
          <w:rFonts w:hint="eastAsia" w:cs="Times New Roman"/>
          <w:b/>
          <w:bCs/>
          <w:sz w:val="24"/>
          <w:highlight w:val="none"/>
        </w:rPr>
        <w:t xml:space="preserve">10、无线中继设备</w:t>
      </w:r>
      <w:r/>
    </w:p>
    <w:p>
      <w:pPr>
        <w:ind w:firstLine="480"/>
        <w:spacing w:line="500" w:lineRule="exact"/>
        <w:widowControl w:val="off"/>
        <w:rPr>
          <w:rFonts w:cs="Times New Roman"/>
          <w:sz w:val="24"/>
          <w:highlight w:val="none"/>
        </w:rPr>
      </w:pPr>
      <w:r>
        <w:rPr>
          <w:rFonts w:hint="eastAsia" w:cs="Times New Roman"/>
          <w:sz w:val="24"/>
          <w:highlight w:val="none"/>
        </w:rPr>
        <w:t xml:space="preserve">（一）电源</w:t>
      </w:r>
      <w:r>
        <w:rPr>
          <w:rFonts w:hint="eastAsia" w:cs="Times New Roman"/>
          <w:sz w:val="24"/>
          <w:highlight w:val="none"/>
        </w:rPr>
        <w:tab/>
      </w:r>
      <w:r>
        <w:rPr>
          <w:rFonts w:hint="eastAsia" w:cs="Times New Roman"/>
          <w:sz w:val="24"/>
          <w:highlight w:val="none"/>
        </w:rPr>
        <w:t xml:space="preserve"> </w:t>
      </w:r>
      <w:r/>
    </w:p>
    <w:p>
      <w:pPr>
        <w:ind w:firstLine="480"/>
        <w:spacing w:line="500" w:lineRule="exact"/>
        <w:widowControl w:val="off"/>
        <w:rPr>
          <w:rFonts w:cs="Times New Roman"/>
          <w:sz w:val="24"/>
          <w:highlight w:val="none"/>
        </w:rPr>
      </w:pPr>
      <w:r>
        <w:rPr>
          <w:rFonts w:hint="eastAsia" w:cs="Times New Roman"/>
          <w:sz w:val="24"/>
          <w:highlight w:val="none"/>
        </w:rPr>
        <w:t xml:space="preserve">供电方式：DC5V；</w:t>
      </w:r>
      <w:r/>
    </w:p>
    <w:p>
      <w:pPr>
        <w:ind w:firstLine="480"/>
        <w:spacing w:line="500" w:lineRule="exact"/>
        <w:widowControl w:val="off"/>
        <w:rPr>
          <w:rFonts w:cs="Times New Roman"/>
          <w:sz w:val="24"/>
          <w:highlight w:val="none"/>
        </w:rPr>
      </w:pPr>
      <w:r>
        <w:rPr>
          <w:rFonts w:hint="eastAsia" w:cs="Times New Roman"/>
          <w:sz w:val="24"/>
          <w:highlight w:val="none"/>
        </w:rPr>
        <w:t xml:space="preserve">（二）通信特性</w:t>
      </w:r>
      <w:r>
        <w:rPr>
          <w:rFonts w:hint="eastAsia" w:cs="Times New Roman"/>
          <w:sz w:val="24"/>
          <w:highlight w:val="none"/>
        </w:rPr>
        <w:tab/>
      </w:r>
      <w:r/>
    </w:p>
    <w:p>
      <w:pPr>
        <w:ind w:firstLine="480"/>
        <w:spacing w:line="500" w:lineRule="exact"/>
        <w:widowControl w:val="off"/>
        <w:rPr>
          <w:rFonts w:cs="Times New Roman"/>
          <w:sz w:val="24"/>
          <w:highlight w:val="none"/>
        </w:rPr>
      </w:pPr>
      <w:r>
        <w:rPr>
          <w:rFonts w:hint="eastAsia" w:cs="Times New Roman"/>
          <w:sz w:val="24"/>
          <w:highlight w:val="none"/>
        </w:rPr>
        <w:t xml:space="preserve">无线通信：</w:t>
      </w:r>
      <w:r/>
    </w:p>
    <w:p>
      <w:pPr>
        <w:ind w:firstLine="480"/>
        <w:spacing w:line="500" w:lineRule="exact"/>
        <w:widowControl w:val="off"/>
        <w:rPr>
          <w:rFonts w:cs="Times New Roman"/>
          <w:sz w:val="24"/>
          <w:highlight w:val="none"/>
        </w:rPr>
      </w:pPr>
      <w:r>
        <w:rPr>
          <w:rFonts w:hint="eastAsia" w:cs="Times New Roman"/>
          <w:sz w:val="24"/>
          <w:highlight w:val="none"/>
        </w:rPr>
        <w:t xml:space="preserve">射频频率：433MHz或国家其他免费工业频段；</w:t>
      </w:r>
      <w:r/>
    </w:p>
    <w:p>
      <w:pPr>
        <w:ind w:firstLine="480"/>
        <w:spacing w:line="500" w:lineRule="exact"/>
        <w:widowControl w:val="off"/>
        <w:rPr>
          <w:rFonts w:cs="Times New Roman"/>
          <w:sz w:val="24"/>
          <w:highlight w:val="none"/>
        </w:rPr>
      </w:pPr>
      <w:r>
        <w:rPr>
          <w:rFonts w:hint="eastAsia" w:cs="Times New Roman"/>
          <w:sz w:val="24"/>
          <w:highlight w:val="none"/>
        </w:rPr>
        <w:t xml:space="preserve">天线类型：内置或外置天线；</w:t>
      </w:r>
      <w:r/>
    </w:p>
    <w:p>
      <w:pPr>
        <w:ind w:firstLine="480"/>
        <w:spacing w:line="500" w:lineRule="exact"/>
        <w:widowControl w:val="off"/>
        <w:rPr>
          <w:rFonts w:cs="Times New Roman"/>
          <w:sz w:val="24"/>
          <w:highlight w:val="none"/>
        </w:rPr>
      </w:pPr>
      <w:r>
        <w:rPr>
          <w:rFonts w:hint="eastAsia" w:cs="Times New Roman"/>
          <w:sz w:val="24"/>
          <w:highlight w:val="none"/>
        </w:rPr>
        <w:t xml:space="preserve">发射功率：+17dBm；</w:t>
      </w:r>
      <w:r/>
    </w:p>
    <w:p>
      <w:pPr>
        <w:ind w:firstLine="480"/>
        <w:spacing w:line="500" w:lineRule="exact"/>
        <w:widowControl w:val="off"/>
        <w:rPr>
          <w:rFonts w:cs="Times New Roman"/>
          <w:i/>
          <w:iCs/>
          <w:sz w:val="24"/>
          <w:highlight w:val="none"/>
          <w:u w:val="single"/>
        </w:rPr>
      </w:pPr>
      <w:r>
        <w:rPr>
          <w:rFonts w:hint="eastAsia" w:cs="Times New Roman"/>
          <w:i/>
          <w:iCs/>
          <w:sz w:val="24"/>
          <w:highlight w:val="none"/>
          <w:u w:val="single"/>
        </w:rPr>
        <w:t xml:space="preserve">最大传输距离：≥800m（室外可视距离，无路由）；</w:t>
      </w:r>
      <w:r/>
    </w:p>
    <w:p>
      <w:pPr>
        <w:ind w:firstLine="480"/>
        <w:spacing w:line="500" w:lineRule="exact"/>
        <w:widowControl w:val="off"/>
        <w:rPr>
          <w:rFonts w:cs="Times New Roman"/>
          <w:sz w:val="24"/>
          <w:highlight w:val="none"/>
        </w:rPr>
      </w:pPr>
      <w:r>
        <w:rPr>
          <w:rFonts w:hint="eastAsia" w:cs="Times New Roman"/>
          <w:sz w:val="24"/>
          <w:highlight w:val="none"/>
        </w:rPr>
        <w:t xml:space="preserve">组网形式：多路由自组网，路径自动发现，自动修复；</w:t>
      </w:r>
      <w:r/>
    </w:p>
    <w:p>
      <w:pPr>
        <w:ind w:firstLine="480"/>
        <w:spacing w:line="500" w:lineRule="exact"/>
        <w:widowControl w:val="off"/>
        <w:rPr>
          <w:rFonts w:cs="Times New Roman"/>
          <w:sz w:val="24"/>
          <w:highlight w:val="none"/>
        </w:rPr>
      </w:pPr>
      <w:r>
        <w:rPr>
          <w:rFonts w:hint="eastAsia" w:cs="Times New Roman"/>
          <w:sz w:val="24"/>
          <w:highlight w:val="none"/>
        </w:rPr>
        <w:t xml:space="preserve">（三）功能特性</w:t>
      </w:r>
      <w:r/>
    </w:p>
    <w:p>
      <w:pPr>
        <w:ind w:firstLine="480"/>
        <w:spacing w:line="500" w:lineRule="exact"/>
        <w:widowControl w:val="off"/>
        <w:rPr>
          <w:rFonts w:cs="Times New Roman"/>
          <w:sz w:val="24"/>
          <w:highlight w:val="none"/>
        </w:rPr>
      </w:pPr>
      <w:r>
        <w:rPr>
          <w:rFonts w:hint="eastAsia" w:cs="Times New Roman"/>
          <w:sz w:val="24"/>
          <w:highlight w:val="none"/>
        </w:rPr>
        <w:t xml:space="preserve">（1）支持测控器设备的连接与管理。</w:t>
      </w:r>
      <w:r/>
    </w:p>
    <w:p>
      <w:pPr>
        <w:ind w:firstLine="480"/>
        <w:spacing w:line="500" w:lineRule="exact"/>
        <w:widowControl w:val="off"/>
        <w:rPr>
          <w:rFonts w:cs="Times New Roman"/>
          <w:sz w:val="24"/>
          <w:highlight w:val="none"/>
        </w:rPr>
      </w:pPr>
      <w:r>
        <w:rPr>
          <w:rFonts w:hint="eastAsia" w:cs="Times New Roman"/>
          <w:sz w:val="24"/>
          <w:highlight w:val="none"/>
        </w:rPr>
        <w:t xml:space="preserve">（2）▲设备管理支持设备在线离线监测、无线信号质量检测、状态更新等功能。</w:t>
      </w:r>
      <w:r/>
    </w:p>
    <w:p>
      <w:pPr>
        <w:ind w:firstLine="480"/>
        <w:spacing w:line="500" w:lineRule="exact"/>
        <w:widowControl w:val="off"/>
        <w:rPr>
          <w:rFonts w:cs="Times New Roman"/>
          <w:sz w:val="24"/>
          <w:highlight w:val="none"/>
        </w:rPr>
      </w:pPr>
      <w:r>
        <w:rPr>
          <w:rFonts w:hint="eastAsia" w:cs="Times New Roman"/>
          <w:sz w:val="24"/>
          <w:highlight w:val="none"/>
        </w:rPr>
        <w:t xml:space="preserve">（3）可展示局域网通信、电池健康等状态。</w:t>
      </w:r>
      <w:r/>
    </w:p>
    <w:p>
      <w:pPr>
        <w:ind w:firstLine="480"/>
        <w:spacing w:line="500" w:lineRule="exact"/>
        <w:widowControl w:val="off"/>
        <w:rPr>
          <w:rFonts w:cs="Times New Roman"/>
          <w:sz w:val="24"/>
          <w:highlight w:val="none"/>
        </w:rPr>
      </w:pPr>
      <w:r>
        <w:rPr>
          <w:rFonts w:hint="eastAsia" w:cs="Times New Roman"/>
          <w:sz w:val="24"/>
          <w:highlight w:val="none"/>
        </w:rPr>
        <w:t xml:space="preserve">（4）▲支持固件升级、版本校验等功能。</w:t>
      </w:r>
      <w:r/>
    </w:p>
    <w:p>
      <w:pPr>
        <w:ind w:firstLine="480"/>
        <w:spacing w:line="500" w:lineRule="exact"/>
        <w:widowControl w:val="off"/>
        <w:rPr>
          <w:rFonts w:cs="Times New Roman"/>
          <w:sz w:val="24"/>
          <w:highlight w:val="none"/>
        </w:rPr>
      </w:pPr>
      <w:r>
        <w:rPr>
          <w:rFonts w:hint="eastAsia" w:cs="Times New Roman"/>
          <w:sz w:val="24"/>
          <w:highlight w:val="none"/>
        </w:rPr>
        <w:t xml:space="preserve">（5）▲设备采用安全设计，通过ia保护等级的防爆安全认证。</w:t>
      </w:r>
      <w:r/>
    </w:p>
    <w:p>
      <w:pPr>
        <w:ind w:firstLine="480"/>
        <w:spacing w:line="500" w:lineRule="exact"/>
        <w:widowControl w:val="off"/>
        <w:rPr>
          <w:rFonts w:cs="Times New Roman"/>
          <w:sz w:val="24"/>
          <w:highlight w:val="none"/>
        </w:rPr>
      </w:pPr>
      <w:r>
        <w:rPr>
          <w:rFonts w:hint="eastAsia" w:cs="Times New Roman"/>
          <w:sz w:val="24"/>
          <w:highlight w:val="none"/>
        </w:rPr>
        <w:t xml:space="preserve">（四）工作环境</w:t>
      </w:r>
      <w:r>
        <w:rPr>
          <w:rFonts w:hint="eastAsia" w:cs="Times New Roman"/>
          <w:sz w:val="24"/>
          <w:highlight w:val="none"/>
        </w:rPr>
        <w:tab/>
      </w:r>
      <w:r/>
    </w:p>
    <w:p>
      <w:pPr>
        <w:ind w:firstLine="480"/>
        <w:spacing w:line="500" w:lineRule="exact"/>
        <w:widowControl w:val="off"/>
        <w:rPr>
          <w:rFonts w:cs="Times New Roman"/>
          <w:sz w:val="24"/>
          <w:highlight w:val="none"/>
        </w:rPr>
      </w:pPr>
      <w:r>
        <w:rPr>
          <w:rFonts w:hint="eastAsia" w:cs="Times New Roman"/>
          <w:sz w:val="24"/>
          <w:highlight w:val="none"/>
        </w:rPr>
        <w:t xml:space="preserve">温度：≥-20℃～+80℃；湿度：≥0～90%RH（非冷凝）。</w:t>
      </w:r>
      <w:r/>
    </w:p>
    <w:p>
      <w:pPr>
        <w:spacing w:line="500" w:lineRule="exact"/>
        <w:widowControl w:val="off"/>
        <w:rPr>
          <w:rFonts w:cs="Times New Roman"/>
          <w:b/>
          <w:bCs/>
          <w:sz w:val="24"/>
          <w:highlight w:val="none"/>
        </w:rPr>
        <w:outlineLvl w:val="2"/>
      </w:pPr>
      <w:r>
        <w:rPr>
          <w:rFonts w:hint="eastAsia" w:cs="Times New Roman"/>
          <w:b/>
          <w:bCs/>
          <w:sz w:val="24"/>
          <w:highlight w:val="none"/>
        </w:rPr>
        <w:t xml:space="preserve">11、馆藏文物环境分布式智能监控系统软件</w:t>
      </w:r>
      <w:r/>
    </w:p>
    <w:p>
      <w:pPr>
        <w:ind w:firstLine="480"/>
        <w:spacing w:line="500" w:lineRule="exact"/>
        <w:widowControl w:val="off"/>
        <w:rPr>
          <w:rFonts w:cs="Times New Roman"/>
          <w:sz w:val="24"/>
          <w:highlight w:val="none"/>
        </w:rPr>
      </w:pPr>
      <w:r>
        <w:rPr>
          <w:rFonts w:hint="eastAsia" w:cs="Times New Roman"/>
          <w:sz w:val="24"/>
          <w:highlight w:val="none"/>
        </w:rPr>
        <w:t xml:space="preserve">（一）总体指标</w:t>
      </w:r>
      <w:r/>
    </w:p>
    <w:p>
      <w:pPr>
        <w:ind w:firstLine="480"/>
        <w:spacing w:line="500" w:lineRule="exact"/>
        <w:widowControl w:val="off"/>
        <w:rPr>
          <w:rFonts w:cs="Times New Roman"/>
          <w:sz w:val="24"/>
          <w:highlight w:val="none"/>
        </w:rPr>
      </w:pPr>
      <w:r>
        <w:rPr>
          <w:rFonts w:hint="eastAsia" w:cs="Times New Roman"/>
          <w:sz w:val="24"/>
          <w:highlight w:val="none"/>
        </w:rPr>
        <w:t xml:space="preserve">（1）支持数据管理与系统管理分布式部署；</w:t>
      </w:r>
      <w:r/>
    </w:p>
    <w:p>
      <w:pPr>
        <w:ind w:firstLine="480"/>
        <w:spacing w:line="500" w:lineRule="exact"/>
        <w:widowControl w:val="off"/>
        <w:rPr>
          <w:rFonts w:cs="Times New Roman"/>
          <w:sz w:val="24"/>
          <w:highlight w:val="none"/>
        </w:rPr>
      </w:pPr>
      <w:r>
        <w:rPr>
          <w:rFonts w:hint="eastAsia" w:cs="Times New Roman"/>
          <w:sz w:val="24"/>
          <w:highlight w:val="none"/>
        </w:rPr>
        <w:t xml:space="preserve">（2）提供API方式的第三方应用集成方案；</w:t>
      </w:r>
      <w:r/>
    </w:p>
    <w:p>
      <w:pPr>
        <w:ind w:firstLine="480"/>
        <w:spacing w:line="500" w:lineRule="exact"/>
        <w:widowControl w:val="off"/>
        <w:rPr>
          <w:rFonts w:cs="Times New Roman"/>
          <w:sz w:val="24"/>
          <w:highlight w:val="none"/>
        </w:rPr>
      </w:pPr>
      <w:r>
        <w:rPr>
          <w:rFonts w:hint="eastAsia" w:cs="Times New Roman"/>
          <w:sz w:val="24"/>
          <w:highlight w:val="none"/>
        </w:rPr>
        <w:t xml:space="preserve">（3）业务逻辑系统支持Windows Server或者Linux等系统；</w:t>
      </w:r>
      <w:r/>
    </w:p>
    <w:p>
      <w:pPr>
        <w:ind w:firstLine="480"/>
        <w:spacing w:line="500" w:lineRule="exact"/>
        <w:widowControl w:val="off"/>
        <w:rPr>
          <w:rFonts w:cs="Times New Roman"/>
          <w:sz w:val="24"/>
        </w:rPr>
      </w:pPr>
      <w:r>
        <w:rPr>
          <w:rFonts w:hint="eastAsia" w:cs="Times New Roman"/>
          <w:sz w:val="24"/>
        </w:rPr>
        <w:t xml:space="preserve">（4）数据存储至少支持MySQL、Oracle、MongoDB等数据库中的一种，并对数据库的访问效率提供优化；</w:t>
      </w:r>
      <w:r/>
    </w:p>
    <w:p>
      <w:pPr>
        <w:ind w:firstLine="480"/>
        <w:spacing w:line="500" w:lineRule="exact"/>
        <w:widowControl w:val="off"/>
        <w:rPr>
          <w:rFonts w:cs="Times New Roman"/>
          <w:sz w:val="24"/>
        </w:rPr>
      </w:pPr>
      <w:r>
        <w:rPr>
          <w:rFonts w:hint="eastAsia" w:cs="Times New Roman"/>
          <w:sz w:val="24"/>
        </w:rPr>
        <w:t xml:space="preserve">（5）中间件支持Redis缓存、Kafka消息队列、MQTT消息队列、Elasticsearch搜索引擎；</w:t>
      </w:r>
      <w:r/>
    </w:p>
    <w:p>
      <w:pPr>
        <w:ind w:firstLine="480"/>
        <w:spacing w:line="500" w:lineRule="exact"/>
        <w:widowControl w:val="off"/>
        <w:rPr>
          <w:rFonts w:cs="Times New Roman"/>
          <w:sz w:val="24"/>
        </w:rPr>
      </w:pPr>
      <w:r>
        <w:rPr>
          <w:rFonts w:hint="eastAsia" w:cs="Times New Roman"/>
          <w:sz w:val="24"/>
        </w:rPr>
        <w:t xml:space="preserve">（6）为保障稳定性，系统应具备负载均衡解决方案；</w:t>
      </w:r>
      <w:r/>
    </w:p>
    <w:p>
      <w:pPr>
        <w:ind w:firstLine="480"/>
        <w:spacing w:line="500" w:lineRule="exact"/>
        <w:widowControl w:val="off"/>
        <w:rPr>
          <w:rFonts w:cs="Times New Roman"/>
          <w:sz w:val="24"/>
        </w:rPr>
      </w:pPr>
      <w:r>
        <w:rPr>
          <w:rFonts w:hint="eastAsia" w:cs="Times New Roman"/>
          <w:sz w:val="24"/>
        </w:rPr>
        <w:t xml:space="preserve">（7）系统应支持服务器、数据库、应用程序等基本参数的远程监控能力；</w:t>
      </w:r>
      <w:r/>
    </w:p>
    <w:p>
      <w:pPr>
        <w:ind w:firstLine="480"/>
        <w:spacing w:line="500" w:lineRule="exact"/>
        <w:widowControl w:val="off"/>
        <w:rPr>
          <w:rFonts w:cs="Times New Roman"/>
          <w:sz w:val="24"/>
        </w:rPr>
      </w:pPr>
      <w:r>
        <w:rPr>
          <w:rFonts w:hint="eastAsia" w:cs="Times New Roman"/>
          <w:sz w:val="24"/>
        </w:rPr>
        <w:t xml:space="preserve">（8）支持数据备份方案，确保数据安全；</w:t>
      </w:r>
      <w:r/>
    </w:p>
    <w:p>
      <w:pPr>
        <w:ind w:firstLine="480"/>
        <w:spacing w:line="500" w:lineRule="exact"/>
        <w:widowControl w:val="off"/>
        <w:rPr>
          <w:rFonts w:cs="Times New Roman"/>
          <w:sz w:val="24"/>
        </w:rPr>
      </w:pPr>
      <w:r>
        <w:rPr>
          <w:rFonts w:hint="eastAsia" w:cs="Times New Roman"/>
          <w:sz w:val="24"/>
        </w:rPr>
        <w:t xml:space="preserve">（9）支持环境调控设备控制。 </w:t>
      </w:r>
      <w:r/>
    </w:p>
    <w:p>
      <w:pPr>
        <w:ind w:firstLine="480"/>
        <w:spacing w:line="500" w:lineRule="exact"/>
        <w:widowControl w:val="off"/>
        <w:rPr>
          <w:rFonts w:cs="Times New Roman"/>
          <w:sz w:val="24"/>
        </w:rPr>
      </w:pPr>
      <w:r>
        <w:rPr>
          <w:rFonts w:hint="eastAsia" w:cs="Times New Roman"/>
          <w:sz w:val="24"/>
        </w:rPr>
        <w:t xml:space="preserve">（二）可用性</w:t>
      </w:r>
      <w:r/>
    </w:p>
    <w:p>
      <w:pPr>
        <w:ind w:firstLine="480"/>
        <w:spacing w:line="500" w:lineRule="exact"/>
        <w:widowControl w:val="off"/>
        <w:rPr>
          <w:rFonts w:cs="Times New Roman"/>
          <w:sz w:val="24"/>
        </w:rPr>
      </w:pPr>
      <w:r>
        <w:rPr>
          <w:rFonts w:hint="eastAsia" w:cs="Times New Roman"/>
          <w:sz w:val="24"/>
        </w:rPr>
        <w:t xml:space="preserve">（1）支持故障恢复和故障迁移的功能，保证应用系统7x24小时不间断运行；</w:t>
      </w:r>
      <w:r/>
    </w:p>
    <w:p>
      <w:pPr>
        <w:ind w:firstLine="480"/>
        <w:spacing w:line="500" w:lineRule="exact"/>
        <w:widowControl w:val="off"/>
        <w:rPr>
          <w:rFonts w:cs="Times New Roman"/>
          <w:sz w:val="24"/>
        </w:rPr>
      </w:pPr>
      <w:r>
        <w:rPr>
          <w:rFonts w:hint="eastAsia" w:cs="Times New Roman"/>
          <w:sz w:val="24"/>
        </w:rPr>
        <w:t xml:space="preserve">（2）在Web服务器、程序发生故障的情况下，应用中间件必须保证业务的持续运行，保证数据的完整性；</w:t>
      </w:r>
      <w:r/>
    </w:p>
    <w:p>
      <w:pPr>
        <w:ind w:firstLine="480"/>
        <w:spacing w:line="500" w:lineRule="exact"/>
        <w:widowControl w:val="off"/>
        <w:rPr>
          <w:rFonts w:cs="Times New Roman"/>
          <w:sz w:val="24"/>
        </w:rPr>
      </w:pPr>
      <w:r>
        <w:rPr>
          <w:rFonts w:hint="eastAsia" w:cs="Times New Roman"/>
          <w:sz w:val="24"/>
        </w:rPr>
        <w:t xml:space="preserve">（3）支持REST风格的API接口；</w:t>
      </w:r>
      <w:r/>
    </w:p>
    <w:p>
      <w:pPr>
        <w:ind w:firstLine="480"/>
        <w:spacing w:line="500" w:lineRule="exact"/>
        <w:widowControl w:val="off"/>
        <w:rPr>
          <w:rFonts w:cs="Times New Roman"/>
          <w:sz w:val="24"/>
        </w:rPr>
      </w:pPr>
      <w:r>
        <w:rPr>
          <w:rFonts w:hint="eastAsia" w:cs="Times New Roman"/>
          <w:sz w:val="24"/>
        </w:rPr>
        <w:t xml:space="preserve">（4）能自动汇总和计算采集到的环境信息；</w:t>
      </w:r>
      <w:r/>
    </w:p>
    <w:p>
      <w:pPr>
        <w:ind w:firstLine="480"/>
        <w:spacing w:line="500" w:lineRule="exact"/>
        <w:widowControl w:val="off"/>
        <w:rPr>
          <w:rFonts w:cs="Times New Roman"/>
          <w:sz w:val="24"/>
        </w:rPr>
      </w:pPr>
      <w:r>
        <w:rPr>
          <w:rFonts w:hint="eastAsia" w:cs="Times New Roman"/>
          <w:sz w:val="24"/>
        </w:rPr>
        <w:t xml:space="preserve">（5）至少支持以太网、4G等多种网络采集数据方式中的一种；</w:t>
      </w:r>
      <w:r/>
    </w:p>
    <w:p>
      <w:pPr>
        <w:ind w:firstLine="480"/>
        <w:spacing w:line="500" w:lineRule="exact"/>
        <w:widowControl w:val="off"/>
        <w:rPr>
          <w:rFonts w:cs="Times New Roman"/>
          <w:sz w:val="24"/>
        </w:rPr>
      </w:pPr>
      <w:r>
        <w:rPr>
          <w:rFonts w:hint="eastAsia" w:cs="Times New Roman"/>
          <w:sz w:val="24"/>
        </w:rPr>
        <w:t xml:space="preserve">（6）支持离线数据记录功能。</w:t>
      </w:r>
      <w:r/>
    </w:p>
    <w:p>
      <w:pPr>
        <w:ind w:firstLine="480"/>
        <w:spacing w:line="500" w:lineRule="exact"/>
        <w:widowControl w:val="off"/>
        <w:rPr>
          <w:rFonts w:cs="Times New Roman"/>
          <w:sz w:val="24"/>
        </w:rPr>
      </w:pPr>
      <w:r>
        <w:rPr>
          <w:rFonts w:hint="eastAsia" w:cs="Times New Roman"/>
          <w:sz w:val="24"/>
        </w:rPr>
        <w:t xml:space="preserve">（三）安全性</w:t>
      </w:r>
      <w:r/>
    </w:p>
    <w:p>
      <w:pPr>
        <w:ind w:firstLine="480"/>
        <w:spacing w:line="500" w:lineRule="exact"/>
        <w:widowControl w:val="off"/>
        <w:rPr>
          <w:rFonts w:cs="Times New Roman"/>
          <w:sz w:val="24"/>
        </w:rPr>
      </w:pPr>
      <w:r>
        <w:rPr>
          <w:rFonts w:hint="eastAsia" w:cs="Times New Roman"/>
          <w:sz w:val="24"/>
        </w:rPr>
        <w:t xml:space="preserve">支持安全访问模式、用户分权限管理。</w:t>
      </w:r>
      <w:r/>
    </w:p>
    <w:p>
      <w:pPr>
        <w:ind w:firstLine="480"/>
        <w:spacing w:line="500" w:lineRule="exact"/>
        <w:widowControl w:val="off"/>
        <w:rPr>
          <w:rFonts w:cs="Times New Roman"/>
          <w:sz w:val="24"/>
        </w:rPr>
      </w:pPr>
      <w:r>
        <w:rPr>
          <w:rFonts w:hint="eastAsia" w:cs="Times New Roman"/>
          <w:sz w:val="24"/>
        </w:rPr>
        <w:t xml:space="preserve">（四）首页展示</w:t>
      </w:r>
      <w:r/>
    </w:p>
    <w:p>
      <w:pPr>
        <w:ind w:firstLine="480"/>
        <w:spacing w:line="500" w:lineRule="exact"/>
        <w:widowControl w:val="off"/>
        <w:rPr>
          <w:rFonts w:cs="Times New Roman"/>
          <w:sz w:val="24"/>
        </w:rPr>
      </w:pPr>
      <w:r>
        <w:rPr>
          <w:rFonts w:hint="eastAsia" w:cs="Times New Roman"/>
          <w:sz w:val="24"/>
        </w:rPr>
        <w:t xml:space="preserve">（1）系统整体信息展示，包括设备数、场景数、累计数据记录、累计运行天数；</w:t>
      </w:r>
      <w:r/>
    </w:p>
    <w:p>
      <w:pPr>
        <w:ind w:firstLine="480"/>
        <w:spacing w:line="500" w:lineRule="exact"/>
        <w:widowControl w:val="off"/>
        <w:rPr>
          <w:rFonts w:cs="Times New Roman"/>
          <w:sz w:val="24"/>
        </w:rPr>
      </w:pPr>
      <w:r>
        <w:rPr>
          <w:rFonts w:hint="eastAsia" w:cs="Times New Roman"/>
          <w:sz w:val="24"/>
        </w:rPr>
        <w:t xml:space="preserve">（2）设备信息展示，展示设备名称、设备类型、各类设备数量与占比、设备运行状态、设备在线状态；</w:t>
      </w:r>
      <w:r/>
    </w:p>
    <w:p>
      <w:pPr>
        <w:ind w:firstLine="480"/>
        <w:spacing w:line="500" w:lineRule="exact"/>
        <w:widowControl w:val="off"/>
        <w:rPr>
          <w:rFonts w:cs="Times New Roman"/>
          <w:sz w:val="24"/>
        </w:rPr>
      </w:pPr>
      <w:r>
        <w:rPr>
          <w:rFonts w:hint="eastAsia" w:cs="Times New Roman"/>
          <w:sz w:val="24"/>
        </w:rPr>
        <w:t xml:space="preserve">（3）可实现环境稳定性、达标率、告警统计的数据展示。</w:t>
      </w:r>
      <w:r/>
    </w:p>
    <w:p>
      <w:pPr>
        <w:ind w:firstLine="480"/>
        <w:spacing w:line="500" w:lineRule="exact"/>
        <w:widowControl w:val="off"/>
        <w:rPr>
          <w:rFonts w:cs="Times New Roman"/>
          <w:sz w:val="24"/>
        </w:rPr>
      </w:pPr>
      <w:r>
        <w:rPr>
          <w:rFonts w:hint="eastAsia" w:cs="Times New Roman"/>
          <w:sz w:val="24"/>
        </w:rPr>
        <w:t xml:space="preserve">（五）环境控制</w:t>
      </w:r>
      <w:r/>
    </w:p>
    <w:p>
      <w:pPr>
        <w:ind w:firstLine="480"/>
        <w:spacing w:line="500" w:lineRule="exact"/>
        <w:widowControl w:val="off"/>
        <w:rPr>
          <w:rFonts w:cs="Times New Roman"/>
          <w:sz w:val="24"/>
        </w:rPr>
      </w:pPr>
      <w:r>
        <w:rPr>
          <w:rFonts w:hint="eastAsia" w:cs="Times New Roman"/>
          <w:sz w:val="24"/>
        </w:rPr>
        <w:t xml:space="preserve">（1）可列表查看各场景的各类设备开关状态和控制规则详情，并支持检索列表展示数据。</w:t>
      </w:r>
      <w:r/>
    </w:p>
    <w:p>
      <w:pPr>
        <w:ind w:firstLine="480"/>
        <w:spacing w:line="500" w:lineRule="exact"/>
        <w:widowControl w:val="off"/>
        <w:rPr>
          <w:rFonts w:cs="Times New Roman"/>
          <w:sz w:val="24"/>
        </w:rPr>
      </w:pPr>
      <w:r>
        <w:rPr>
          <w:rFonts w:hint="eastAsia" w:cs="Times New Roman"/>
          <w:sz w:val="24"/>
        </w:rPr>
        <w:t xml:space="preserve">（2）▲对处于开启状态的各类控制设备，可设置运行模式； </w:t>
      </w:r>
      <w:r/>
    </w:p>
    <w:p>
      <w:pPr>
        <w:ind w:firstLine="480"/>
        <w:spacing w:line="500" w:lineRule="exact"/>
        <w:widowControl w:val="off"/>
        <w:rPr>
          <w:rFonts w:cs="Times New Roman"/>
          <w:sz w:val="24"/>
        </w:rPr>
      </w:pPr>
      <w:r>
        <w:rPr>
          <w:rFonts w:hint="eastAsia" w:cs="Times New Roman"/>
          <w:sz w:val="24"/>
        </w:rPr>
        <w:t xml:space="preserve">（3）▲可通过列表的单选和多选，实现单条控制规则的编辑和多条控制规则的批量模版处理功能； </w:t>
      </w:r>
      <w:r/>
    </w:p>
    <w:p>
      <w:pPr>
        <w:ind w:firstLine="480"/>
        <w:spacing w:line="500" w:lineRule="exact"/>
        <w:widowControl w:val="off"/>
        <w:rPr>
          <w:rFonts w:cs="Times New Roman"/>
          <w:sz w:val="24"/>
        </w:rPr>
      </w:pPr>
      <w:r>
        <w:rPr>
          <w:rFonts w:hint="eastAsia" w:cs="Times New Roman"/>
          <w:sz w:val="24"/>
        </w:rPr>
        <w:t xml:space="preserve">（4）▲支持查看各场景控制规则下发的执行结果，并可在规则修改操作后，展示场景名称、修改人、修改执行结果、修改时间。</w:t>
      </w:r>
      <w:r/>
    </w:p>
    <w:p>
      <w:pPr>
        <w:ind w:firstLine="480"/>
        <w:spacing w:line="500" w:lineRule="exact"/>
        <w:widowControl w:val="off"/>
        <w:rPr>
          <w:rFonts w:cs="Times New Roman"/>
          <w:sz w:val="24"/>
        </w:rPr>
      </w:pPr>
      <w:r>
        <w:rPr>
          <w:rFonts w:hint="eastAsia" w:cs="Times New Roman"/>
          <w:sz w:val="24"/>
        </w:rPr>
        <w:t xml:space="preserve">（六）环境监测</w:t>
      </w:r>
      <w:r/>
    </w:p>
    <w:p>
      <w:pPr>
        <w:ind w:firstLine="480"/>
        <w:spacing w:line="500" w:lineRule="exact"/>
        <w:widowControl w:val="off"/>
        <w:rPr>
          <w:rFonts w:cs="Times New Roman"/>
          <w:sz w:val="24"/>
        </w:rPr>
      </w:pPr>
      <w:r>
        <w:rPr>
          <w:rFonts w:hint="eastAsia" w:cs="Times New Roman"/>
          <w:sz w:val="24"/>
        </w:rPr>
        <w:t xml:space="preserve">（1）可查看各文物详细信息；</w:t>
      </w:r>
      <w:r/>
    </w:p>
    <w:p>
      <w:pPr>
        <w:ind w:firstLine="480"/>
        <w:spacing w:line="500" w:lineRule="exact"/>
        <w:widowControl w:val="off"/>
        <w:rPr>
          <w:rFonts w:cs="Times New Roman"/>
          <w:sz w:val="24"/>
        </w:rPr>
      </w:pPr>
      <w:r>
        <w:rPr>
          <w:rFonts w:hint="eastAsia" w:cs="Times New Roman"/>
          <w:sz w:val="24"/>
        </w:rPr>
        <w:t xml:space="preserve">（2）可查看文物所属场景告警信息列表；</w:t>
      </w:r>
      <w:r/>
    </w:p>
    <w:p>
      <w:pPr>
        <w:ind w:firstLine="480"/>
        <w:spacing w:line="500" w:lineRule="exact"/>
        <w:widowControl w:val="off"/>
        <w:rPr>
          <w:rFonts w:cs="Times New Roman"/>
          <w:sz w:val="24"/>
        </w:rPr>
      </w:pPr>
      <w:r>
        <w:rPr>
          <w:rFonts w:hint="eastAsia" w:cs="Times New Roman"/>
          <w:sz w:val="24"/>
        </w:rPr>
        <w:t xml:space="preserve">（3）支持轮播展示每一个场景24小时环境监测参数的数值信息。</w:t>
      </w:r>
      <w:r/>
    </w:p>
    <w:p>
      <w:pPr>
        <w:ind w:firstLine="480"/>
        <w:spacing w:line="500" w:lineRule="exact"/>
        <w:widowControl w:val="off"/>
        <w:rPr>
          <w:rFonts w:cs="Times New Roman"/>
          <w:sz w:val="24"/>
        </w:rPr>
      </w:pPr>
      <w:r>
        <w:rPr>
          <w:rFonts w:hint="eastAsia" w:cs="Times New Roman"/>
          <w:sz w:val="24"/>
        </w:rPr>
        <w:t xml:space="preserve">（七）用户管理</w:t>
      </w:r>
      <w:r>
        <w:rPr>
          <w:rFonts w:hint="eastAsia" w:cs="Times New Roman"/>
          <w:sz w:val="24"/>
        </w:rPr>
        <w:tab/>
      </w:r>
      <w:r/>
    </w:p>
    <w:p>
      <w:pPr>
        <w:ind w:firstLine="480"/>
        <w:spacing w:line="500" w:lineRule="exact"/>
        <w:widowControl w:val="off"/>
        <w:rPr>
          <w:rFonts w:cs="Times New Roman"/>
          <w:sz w:val="24"/>
        </w:rPr>
      </w:pPr>
      <w:r>
        <w:rPr>
          <w:rFonts w:hint="eastAsia" w:cs="Times New Roman"/>
          <w:sz w:val="24"/>
        </w:rPr>
        <w:t xml:space="preserve">（1）管理员可创建多个普通工作人员账户；</w:t>
      </w:r>
      <w:r/>
    </w:p>
    <w:p>
      <w:pPr>
        <w:ind w:firstLine="480"/>
        <w:spacing w:line="500" w:lineRule="exact"/>
        <w:widowControl w:val="off"/>
        <w:rPr>
          <w:rFonts w:cs="Times New Roman"/>
          <w:sz w:val="24"/>
        </w:rPr>
      </w:pPr>
      <w:r>
        <w:rPr>
          <w:rFonts w:hint="eastAsia" w:cs="Times New Roman"/>
          <w:sz w:val="24"/>
        </w:rPr>
        <w:t xml:space="preserve">（2）管理员和普通工作人员对系统的访问因身份不同而不同；</w:t>
      </w:r>
      <w:r/>
    </w:p>
    <w:p>
      <w:pPr>
        <w:ind w:firstLine="480"/>
        <w:spacing w:line="500" w:lineRule="exact"/>
        <w:widowControl w:val="off"/>
        <w:rPr>
          <w:rFonts w:cs="Times New Roman"/>
          <w:sz w:val="24"/>
        </w:rPr>
      </w:pPr>
      <w:r>
        <w:rPr>
          <w:rFonts w:hint="eastAsia" w:cs="Times New Roman"/>
          <w:sz w:val="24"/>
        </w:rPr>
        <w:t xml:space="preserve">（3）管理员可查询、编辑、删除监测点用户。</w:t>
      </w:r>
      <w:r/>
    </w:p>
    <w:p>
      <w:pPr>
        <w:ind w:firstLine="480"/>
        <w:spacing w:line="500" w:lineRule="exact"/>
        <w:widowControl w:val="off"/>
        <w:rPr>
          <w:rFonts w:cs="Times New Roman"/>
          <w:sz w:val="24"/>
        </w:rPr>
      </w:pPr>
      <w:r>
        <w:rPr>
          <w:rFonts w:hint="eastAsia" w:cs="Times New Roman"/>
          <w:sz w:val="24"/>
        </w:rPr>
        <w:t xml:space="preserve">（八）藏品管理</w:t>
      </w:r>
      <w:r/>
    </w:p>
    <w:p>
      <w:pPr>
        <w:ind w:firstLine="480"/>
        <w:spacing w:line="500" w:lineRule="exact"/>
        <w:widowControl w:val="off"/>
        <w:rPr>
          <w:rFonts w:cs="Times New Roman"/>
          <w:sz w:val="24"/>
        </w:rPr>
      </w:pPr>
      <w:r>
        <w:rPr>
          <w:rFonts w:hint="eastAsia" w:cs="Times New Roman"/>
          <w:sz w:val="24"/>
        </w:rPr>
        <w:t xml:space="preserve">（1）支持藏品的列表展示、添加、编辑和删除；</w:t>
      </w:r>
      <w:r/>
    </w:p>
    <w:p>
      <w:pPr>
        <w:ind w:firstLine="480"/>
        <w:spacing w:line="500" w:lineRule="exact"/>
        <w:widowControl w:val="off"/>
        <w:rPr>
          <w:rFonts w:cs="Times New Roman"/>
          <w:sz w:val="24"/>
        </w:rPr>
      </w:pPr>
      <w:r>
        <w:rPr>
          <w:rFonts w:hint="eastAsia" w:cs="Times New Roman"/>
          <w:sz w:val="24"/>
        </w:rPr>
        <w:t xml:space="preserve">（2）支持藏品和场景的绑定；</w:t>
      </w:r>
      <w:r/>
    </w:p>
    <w:p>
      <w:pPr>
        <w:ind w:firstLine="480"/>
        <w:spacing w:line="500" w:lineRule="exact"/>
        <w:widowControl w:val="off"/>
        <w:rPr>
          <w:rFonts w:cs="Times New Roman"/>
          <w:sz w:val="24"/>
        </w:rPr>
      </w:pPr>
      <w:r>
        <w:rPr>
          <w:rFonts w:hint="eastAsia" w:cs="Times New Roman"/>
          <w:sz w:val="24"/>
        </w:rPr>
        <w:t xml:space="preserve">（3）可根据不同藏品所属场景的监测参数类型展示各类监测数据；</w:t>
      </w:r>
      <w:r/>
    </w:p>
    <w:p>
      <w:pPr>
        <w:ind w:firstLine="480"/>
        <w:spacing w:line="500" w:lineRule="exact"/>
        <w:widowControl w:val="off"/>
        <w:rPr>
          <w:rFonts w:cs="Times New Roman"/>
          <w:sz w:val="24"/>
        </w:rPr>
      </w:pPr>
      <w:r>
        <w:rPr>
          <w:rFonts w:hint="eastAsia" w:cs="Times New Roman"/>
          <w:sz w:val="24"/>
        </w:rPr>
        <w:t xml:space="preserve">（4）▲支持查看藏品告警信息。可通过选择时间段，展示对应时间段内的告警信息数据。</w:t>
      </w:r>
      <w:r/>
    </w:p>
    <w:p>
      <w:pPr>
        <w:ind w:firstLine="480"/>
        <w:spacing w:line="500" w:lineRule="exact"/>
        <w:widowControl w:val="off"/>
        <w:rPr>
          <w:rFonts w:cs="Times New Roman"/>
          <w:sz w:val="24"/>
        </w:rPr>
      </w:pPr>
      <w:r>
        <w:rPr>
          <w:rFonts w:hint="eastAsia" w:cs="Times New Roman"/>
          <w:sz w:val="24"/>
        </w:rPr>
        <w:t xml:space="preserve">（九）设备管理</w:t>
      </w:r>
      <w:r/>
    </w:p>
    <w:p>
      <w:pPr>
        <w:ind w:firstLine="480"/>
        <w:spacing w:line="500" w:lineRule="exact"/>
        <w:widowControl w:val="off"/>
        <w:rPr>
          <w:rFonts w:cs="Times New Roman"/>
          <w:sz w:val="24"/>
        </w:rPr>
      </w:pPr>
      <w:r>
        <w:rPr>
          <w:rFonts w:hint="eastAsia" w:cs="Times New Roman"/>
          <w:sz w:val="24"/>
        </w:rPr>
        <w:t xml:space="preserve">（1）支持各类设备（网关设备、中继设备、监测和控制设备）的列表展示、添加、编辑和删除； </w:t>
      </w:r>
      <w:r/>
    </w:p>
    <w:p>
      <w:pPr>
        <w:ind w:firstLine="480"/>
        <w:spacing w:line="500" w:lineRule="exact"/>
        <w:widowControl w:val="off"/>
        <w:rPr>
          <w:rFonts w:cs="Times New Roman"/>
          <w:sz w:val="24"/>
        </w:rPr>
      </w:pPr>
      <w:r>
        <w:rPr>
          <w:rFonts w:hint="eastAsia" w:cs="Times New Roman"/>
          <w:sz w:val="24"/>
        </w:rPr>
        <w:t xml:space="preserve">（2）可通过列表查看设备运行状态和在线状态。</w:t>
      </w:r>
      <w:r/>
    </w:p>
    <w:p>
      <w:pPr>
        <w:ind w:firstLine="480"/>
        <w:spacing w:line="500" w:lineRule="exact"/>
        <w:widowControl w:val="off"/>
        <w:rPr>
          <w:rFonts w:cs="Times New Roman"/>
          <w:sz w:val="24"/>
        </w:rPr>
      </w:pPr>
      <w:r>
        <w:rPr>
          <w:rFonts w:hint="eastAsia" w:cs="Times New Roman"/>
          <w:sz w:val="24"/>
        </w:rPr>
        <w:t xml:space="preserve">（十）数据分析</w:t>
      </w:r>
      <w:r/>
    </w:p>
    <w:p>
      <w:pPr>
        <w:ind w:firstLine="480"/>
        <w:spacing w:line="500" w:lineRule="exact"/>
        <w:widowControl w:val="off"/>
        <w:rPr>
          <w:rFonts w:cs="Times New Roman"/>
          <w:sz w:val="24"/>
        </w:rPr>
      </w:pPr>
      <w:r>
        <w:rPr>
          <w:rFonts w:hint="eastAsia" w:cs="Times New Roman"/>
          <w:sz w:val="24"/>
        </w:rPr>
        <w:t xml:space="preserve">（1）可查看各场景、各环境参数类型、各设备、选中时间段内的稳定性分析数据；</w:t>
      </w:r>
      <w:r/>
    </w:p>
    <w:p>
      <w:pPr>
        <w:ind w:firstLine="480"/>
        <w:spacing w:line="500" w:lineRule="exact"/>
        <w:widowControl w:val="off"/>
        <w:rPr>
          <w:rFonts w:cs="Times New Roman"/>
          <w:sz w:val="24"/>
        </w:rPr>
      </w:pPr>
      <w:r>
        <w:rPr>
          <w:rFonts w:hint="eastAsia" w:cs="Times New Roman"/>
          <w:sz w:val="24"/>
        </w:rPr>
        <w:t xml:space="preserve">（2）可查看各场景、环境参数类型、设备、选中时间段内的环境达标率分析；</w:t>
      </w:r>
      <w:r/>
    </w:p>
    <w:p>
      <w:pPr>
        <w:ind w:firstLine="480"/>
        <w:spacing w:line="500" w:lineRule="exact"/>
        <w:widowControl w:val="off"/>
        <w:rPr>
          <w:rFonts w:cs="Times New Roman"/>
          <w:sz w:val="24"/>
        </w:rPr>
      </w:pPr>
      <w:r>
        <w:rPr>
          <w:rFonts w:hint="eastAsia" w:cs="Times New Roman"/>
          <w:sz w:val="24"/>
        </w:rPr>
        <w:t xml:space="preserve">（3）可查看各场景、环境参数类型、各设备、选中时间段内的数据对比分析；</w:t>
      </w:r>
      <w:r/>
    </w:p>
    <w:p>
      <w:pPr>
        <w:ind w:firstLine="480"/>
        <w:spacing w:line="500" w:lineRule="exact"/>
        <w:widowControl w:val="off"/>
        <w:rPr>
          <w:rFonts w:cs="Times New Roman"/>
          <w:sz w:val="24"/>
        </w:rPr>
      </w:pPr>
      <w:r>
        <w:rPr>
          <w:rFonts w:hint="eastAsia" w:cs="Times New Roman"/>
          <w:sz w:val="24"/>
        </w:rPr>
        <w:t xml:space="preserve">（4）可查看选中时间段内Web用户行为数据分析。</w:t>
      </w:r>
      <w:r/>
    </w:p>
    <w:p>
      <w:pPr>
        <w:ind w:firstLine="480"/>
        <w:spacing w:line="500" w:lineRule="exact"/>
        <w:widowControl w:val="off"/>
        <w:rPr>
          <w:rFonts w:cs="Times New Roman"/>
          <w:sz w:val="24"/>
        </w:rPr>
      </w:pPr>
      <w:r>
        <w:rPr>
          <w:rFonts w:hint="eastAsia" w:cs="Times New Roman"/>
          <w:sz w:val="24"/>
        </w:rPr>
        <w:t xml:space="preserve">（十一）日志管理</w:t>
      </w:r>
      <w:r/>
    </w:p>
    <w:p>
      <w:pPr>
        <w:ind w:firstLine="480"/>
        <w:spacing w:line="500" w:lineRule="exact"/>
        <w:widowControl w:val="off"/>
        <w:rPr>
          <w:rFonts w:cs="Times New Roman"/>
          <w:sz w:val="24"/>
        </w:rPr>
      </w:pPr>
      <w:r>
        <w:rPr>
          <w:rFonts w:hint="eastAsia" w:cs="Times New Roman"/>
          <w:sz w:val="24"/>
        </w:rPr>
        <w:t xml:space="preserve">提供完善的日志机制。支持多级别日志配置管理机制，支持产生系统日志、设备日志、告警日志等多种日志，支持通过日志审计、跟踪系统的运行状态，对系统和应用的运行状态进行跟踪、调试和排错处理。</w:t>
      </w:r>
      <w:r/>
    </w:p>
    <w:p>
      <w:pPr>
        <w:spacing w:line="500" w:lineRule="exact"/>
        <w:widowControl w:val="off"/>
        <w:rPr>
          <w:rFonts w:cs="Times New Roman"/>
          <w:b/>
          <w:bCs/>
          <w:sz w:val="24"/>
        </w:rPr>
        <w:outlineLvl w:val="2"/>
      </w:pPr>
      <w:r>
        <w:rPr>
          <w:rFonts w:hint="eastAsia" w:cs="Times New Roman"/>
          <w:b/>
          <w:bCs/>
          <w:sz w:val="24"/>
        </w:rPr>
        <w:t xml:space="preserve">12、系统维护服务</w:t>
      </w:r>
      <w:r/>
    </w:p>
    <w:p>
      <w:pPr>
        <w:ind w:firstLine="480"/>
        <w:spacing w:line="500" w:lineRule="exact"/>
        <w:widowControl w:val="off"/>
        <w:rPr>
          <w:rFonts w:cs="Times New Roman"/>
          <w:sz w:val="24"/>
        </w:rPr>
      </w:pPr>
      <w:r>
        <w:rPr>
          <w:rFonts w:hint="eastAsia" w:cs="Times New Roman"/>
          <w:sz w:val="24"/>
        </w:rPr>
        <w:t xml:space="preserve">提供2年维护服务，维护服务自质保期结束之日开始履行。</w:t>
      </w:r>
      <w:r/>
    </w:p>
    <w:p>
      <w:pPr>
        <w:ind w:firstLine="480"/>
        <w:spacing w:line="500" w:lineRule="exact"/>
        <w:widowControl w:val="off"/>
        <w:rPr>
          <w:rFonts w:cs="Times New Roman"/>
          <w:sz w:val="24"/>
        </w:rPr>
      </w:pPr>
      <w:r>
        <w:rPr>
          <w:rFonts w:hint="eastAsia" w:cs="Times New Roman"/>
          <w:sz w:val="24"/>
        </w:rPr>
        <w:t xml:space="preserve">（1）使用单位有系统维护需求时，及时以电话或书面形式向乙方报修，简要说明故障现象和范围。仍需按照质保期内售后服务的时效与方式进行响应。</w:t>
      </w:r>
      <w:r/>
    </w:p>
    <w:p>
      <w:pPr>
        <w:ind w:firstLine="480"/>
        <w:spacing w:line="500" w:lineRule="exact"/>
        <w:widowControl w:val="off"/>
        <w:rPr>
          <w:rFonts w:cs="Times New Roman"/>
          <w:sz w:val="24"/>
        </w:rPr>
      </w:pPr>
      <w:r>
        <w:rPr>
          <w:rFonts w:hint="eastAsia" w:cs="Times New Roman"/>
          <w:sz w:val="24"/>
        </w:rPr>
        <w:t xml:space="preserve">（2）维护期间至少每季度电话回访1次，了解系统软硬件使用情况并记录；每年至少上门定期维护1次，对系统软硬件进行全面巡检。</w:t>
      </w:r>
      <w:r/>
    </w:p>
    <w:p>
      <w:pPr>
        <w:ind w:firstLine="480"/>
        <w:spacing w:line="500" w:lineRule="exact"/>
        <w:widowControl w:val="off"/>
        <w:rPr>
          <w:rFonts w:cs="Times New Roman"/>
          <w:sz w:val="24"/>
        </w:rPr>
      </w:pPr>
      <w:r>
        <w:rPr>
          <w:rFonts w:hint="eastAsia" w:cs="Times New Roman"/>
          <w:sz w:val="24"/>
        </w:rPr>
        <w:t xml:space="preserve">巡检内容包括：对系统软件、展柜恒湿机、展柜微环境测控器、传感器探头、展柜恒湿机电气安全监测模块、无线网关设备、无线中继设备进行运行检查、数据校准、运行故障排除、安全隐患排查等，重点关注设备核心部件损耗情况。</w:t>
      </w:r>
      <w:r/>
    </w:p>
    <w:p>
      <w:pPr>
        <w:ind w:firstLine="480"/>
        <w:spacing w:line="500" w:lineRule="exact"/>
        <w:widowControl w:val="off"/>
        <w:rPr>
          <w:rFonts w:cs="Times New Roman"/>
          <w:sz w:val="24"/>
        </w:rPr>
      </w:pPr>
      <w:r>
        <w:rPr>
          <w:rFonts w:hint="eastAsia" w:cs="Times New Roman"/>
          <w:sz w:val="24"/>
        </w:rPr>
        <w:t xml:space="preserve">（3）对报修与巡检发现的产品质量问题进行解决，包括但不限于更换配件、软件升级等，维护费外不再收取其他费用（因用户使用不当而发生的维护费用除外）。</w:t>
      </w:r>
      <w:r/>
    </w:p>
    <w:p>
      <w:pPr>
        <w:ind w:firstLine="480"/>
        <w:spacing w:line="500" w:lineRule="exact"/>
        <w:widowControl w:val="off"/>
        <w:rPr>
          <w:rFonts w:cs="Times New Roman"/>
          <w:sz w:val="24"/>
        </w:rPr>
      </w:pPr>
      <w:r>
        <w:rPr>
          <w:rFonts w:hint="eastAsia" w:cs="Times New Roman"/>
          <w:sz w:val="24"/>
        </w:rPr>
        <w:t xml:space="preserve">（4）向馆内交接的系统操作人员提供操作指导与培训。</w:t>
      </w:r>
      <w:r/>
    </w:p>
    <w:p>
      <w:pPr>
        <w:ind w:firstLine="480"/>
        <w:spacing w:line="500" w:lineRule="exact"/>
        <w:widowControl w:val="off"/>
        <w:rPr>
          <w:rFonts w:cs="Times New Roman"/>
          <w:sz w:val="24"/>
        </w:rPr>
      </w:pPr>
      <w:r>
        <w:rPr>
          <w:rFonts w:hint="eastAsia" w:cs="Times New Roman"/>
          <w:sz w:val="24"/>
        </w:rPr>
        <w:t xml:space="preserve">全面保证系统2年间正常运行。</w:t>
      </w:r>
      <w:r/>
    </w:p>
    <w:p>
      <w:pPr>
        <w:spacing w:line="500" w:lineRule="exact"/>
        <w:widowControl w:val="off"/>
        <w:rPr>
          <w:rFonts w:cs="Times New Roman"/>
          <w:b/>
          <w:bCs/>
          <w:sz w:val="24"/>
        </w:rPr>
        <w:outlineLvl w:val="2"/>
      </w:pPr>
      <w:r>
        <w:rPr>
          <w:rFonts w:hint="eastAsia" w:cs="Times New Roman"/>
          <w:b/>
          <w:bCs/>
          <w:sz w:val="24"/>
        </w:rPr>
        <w:t xml:space="preserve">13、专家咨询费</w:t>
      </w:r>
      <w:r/>
    </w:p>
    <w:p>
      <w:pPr>
        <w:ind w:firstLine="480"/>
        <w:spacing w:line="500" w:lineRule="exact"/>
        <w:widowControl w:val="off"/>
        <w:rPr>
          <w:rFonts w:cs="Times New Roman"/>
          <w:sz w:val="24"/>
        </w:rPr>
      </w:pPr>
      <w:r>
        <w:rPr>
          <w:rFonts w:hint="eastAsia" w:cs="Times New Roman"/>
          <w:sz w:val="24"/>
        </w:rPr>
        <w:t xml:space="preserve">用于项目启动协调、技术交流、中期评估及结项验收等环节的专家咨询与评审活动。</w:t>
      </w:r>
      <w:r/>
    </w:p>
    <w:p>
      <w:pPr>
        <w:spacing w:line="500" w:lineRule="exact"/>
        <w:widowControl w:val="off"/>
        <w:rPr>
          <w:rFonts w:cs="Times New Roman"/>
          <w:b/>
          <w:bCs/>
          <w:sz w:val="24"/>
        </w:rPr>
        <w:outlineLvl w:val="2"/>
      </w:pPr>
      <w:r>
        <w:rPr>
          <w:rFonts w:hint="eastAsia" w:cs="Times New Roman"/>
          <w:b/>
          <w:bCs/>
          <w:sz w:val="24"/>
        </w:rPr>
        <w:t xml:space="preserve">14、资料整理和报告出版费</w:t>
      </w:r>
      <w:r/>
    </w:p>
    <w:p>
      <w:pPr>
        <w:ind w:firstLine="480"/>
        <w:spacing w:line="500" w:lineRule="exact"/>
        <w:widowControl w:val="off"/>
        <w:rPr>
          <w:rFonts w:cs="Times New Roman"/>
          <w:sz w:val="24"/>
        </w:rPr>
      </w:pPr>
      <w:r>
        <w:rPr>
          <w:rFonts w:hint="eastAsia" w:cs="Times New Roman"/>
          <w:sz w:val="24"/>
        </w:rPr>
        <w:t xml:space="preserve">用于环境数据报告编制、文献资料购置、中期及结项报告的排版打印与装订。</w:t>
      </w:r>
      <w:r/>
    </w:p>
    <w:p>
      <w:pPr>
        <w:spacing w:line="500" w:lineRule="exact"/>
        <w:widowControl w:val="off"/>
        <w:rPr>
          <w:rFonts w:cs="Times New Roman"/>
          <w:b/>
          <w:bCs/>
          <w:sz w:val="24"/>
        </w:rPr>
        <w:outlineLvl w:val="2"/>
      </w:pPr>
      <w:r>
        <w:rPr>
          <w:rFonts w:hint="eastAsia" w:cs="Times New Roman"/>
          <w:b/>
          <w:bCs/>
          <w:sz w:val="24"/>
        </w:rPr>
        <w:t xml:space="preserve">15、项目管理费</w:t>
      </w:r>
      <w:r/>
    </w:p>
    <w:p>
      <w:pPr>
        <w:ind w:firstLine="480"/>
        <w:spacing w:line="500" w:lineRule="exact"/>
        <w:widowControl w:val="off"/>
        <w:rPr>
          <w:rFonts w:cs="Times New Roman"/>
          <w:sz w:val="24"/>
        </w:rPr>
      </w:pPr>
      <w:r>
        <w:rPr>
          <w:rFonts w:hint="eastAsia" w:cs="Times New Roman"/>
          <w:sz w:val="24"/>
        </w:rPr>
        <w:t xml:space="preserve">用于项目实施期间专家会议组织、外出考察、学术交流等管理性支出。</w:t>
      </w:r>
      <w:r/>
    </w:p>
    <w:p>
      <w:pPr>
        <w:spacing w:line="500" w:lineRule="exact"/>
        <w:rPr>
          <w:rFonts w:hint="eastAsia" w:ascii="宋体" w:hAnsi="宋体" w:cs="宋体" w:eastAsiaTheme="minorEastAsia"/>
          <w:bCs/>
          <w:i/>
          <w:iCs/>
          <w:color w:val="auto"/>
          <w:sz w:val="24"/>
          <w:highlight w:val="yellow"/>
          <w:u w:val="single"/>
          <w:lang w:val="en-US" w:eastAsia="zh-CN"/>
        </w:rPr>
      </w:pPr>
      <w:r>
        <w:rPr>
          <w:rFonts w:hint="eastAsia" w:asciiTheme="minorEastAsia" w:hAnsiTheme="minorEastAsia"/>
          <w:b/>
          <w:i/>
          <w:iCs/>
          <w:color w:val="auto"/>
          <w:sz w:val="24"/>
          <w:highlight w:val="none"/>
          <w:u w:val="single"/>
        </w:rPr>
        <w:t xml:space="preserve">注：</w:t>
      </w:r>
      <w:r>
        <w:rPr>
          <w:rFonts w:hint="eastAsia" w:asciiTheme="minorEastAsia" w:hAnsiTheme="minorEastAsia"/>
          <w:b/>
          <w:i/>
          <w:iCs/>
          <w:color w:val="auto"/>
          <w:sz w:val="24"/>
          <w:highlight w:val="none"/>
          <w:u w:val="single"/>
          <w:lang w:val="en-US" w:eastAsia="zh-CN"/>
        </w:rPr>
        <w:t xml:space="preserve">1、</w:t>
      </w:r>
      <w:r>
        <w:rPr>
          <w:rFonts w:hint="eastAsia" w:ascii="宋体" w:hAnsi="宋体" w:cs="宋体"/>
          <w:bCs/>
          <w:i/>
          <w:iCs/>
          <w:color w:val="auto"/>
          <w:sz w:val="24"/>
          <w:highlight w:val="none"/>
          <w:u w:val="single"/>
        </w:rPr>
        <w:t xml:space="preserve">采购需求中除评分项（标注“★”和“▲”）外的技术参数要求，本招标文件中斜体且有下划线部分为实质性要求和条件，投标人应在《</w:t>
      </w:r>
      <w:r>
        <w:rPr>
          <w:rFonts w:hint="eastAsia" w:ascii="宋体" w:hAnsi="宋体" w:cs="宋体"/>
          <w:b/>
          <w:i/>
          <w:iCs/>
          <w:color w:val="auto"/>
          <w:sz w:val="24"/>
          <w:highlight w:val="none"/>
          <w:u w:val="single"/>
        </w:rPr>
        <w:t xml:space="preserve">技术要求响应及偏离表》</w:t>
      </w:r>
      <w:r>
        <w:rPr>
          <w:rFonts w:hint="eastAsia" w:ascii="宋体" w:hAnsi="宋体" w:cs="宋体"/>
          <w:bCs/>
          <w:i/>
          <w:iCs/>
          <w:color w:val="auto"/>
          <w:sz w:val="24"/>
          <w:highlight w:val="none"/>
          <w:u w:val="single"/>
        </w:rPr>
        <w:t xml:space="preserve">逐项列明并完全响应招标文件要求【技术参数中要求提供相关材料投标时应提供相应材料，未要求提供的在偏离表中承诺满足(或优于)招标文件要求即可】，否则将视为未实质性响应采购要求【供应商完全同意条款（即无偏离）或提出对采购人更有利的条款（即正偏离）都属于响应，供应商不同意某项条款（即负偏离）的属于不响应】，按无效响应处理。（注意：如某项标识中包含多条技术参数或要求，则该项标识所含内容均需满足或优于招标文件要求，否则不予认可。）</w:t>
      </w:r>
      <w:r/>
    </w:p>
    <w:p>
      <w:pPr>
        <w:pStyle w:val="649"/>
        <w:ind w:firstLine="0"/>
        <w:spacing w:before="0" w:beforeAutospacing="0" w:line="500" w:lineRule="exact"/>
        <w:widowControl w:val="off"/>
        <w:rPr>
          <w:rFonts w:ascii="Times New Roman" w:hAnsi="Times New Roman" w:eastAsia="宋体"/>
          <w:b/>
          <w:i w:val="0"/>
          <w:iCs/>
          <w:color w:val="000000"/>
          <w:sz w:val="24"/>
          <w:szCs w:val="24"/>
          <w:u w:val="none"/>
        </w:rPr>
      </w:pPr>
      <w:r>
        <w:rPr>
          <w:rFonts w:hint="eastAsia" w:ascii="Times New Roman" w:hAnsi="Times New Roman" w:eastAsia="宋体"/>
          <w:b/>
          <w:i w:val="0"/>
          <w:iCs/>
          <w:color w:val="000000"/>
          <w:sz w:val="24"/>
          <w:szCs w:val="24"/>
          <w:u w:val="none"/>
        </w:rPr>
        <w:t xml:space="preserve">四、现场踏勘</w:t>
      </w:r>
      <w:r/>
    </w:p>
    <w:p>
      <w:pPr>
        <w:ind w:firstLine="480"/>
        <w:spacing w:line="500" w:lineRule="exact"/>
        <w:widowControl w:val="off"/>
        <w:rPr>
          <w:rFonts w:cs="Times New Roman"/>
          <w:sz w:val="24"/>
        </w:rPr>
      </w:pPr>
      <w:r>
        <w:rPr>
          <w:rFonts w:hint="eastAsia" w:cs="Times New Roman"/>
          <w:sz w:val="24"/>
        </w:rPr>
        <w:t xml:space="preserve">1、因本项目报价需联系现场实际情况，所以各投标人投标前应踏勘现场以了解项目实际情况（包括进出场道路、施工作业面条件及采购人要求达成的效果等）。现场踏勘联系人：</w:t>
      </w:r>
      <w:r>
        <w:rPr>
          <w:rFonts w:hint="eastAsia" w:cs="Times New Roman"/>
          <w:sz w:val="24"/>
          <w:lang w:eastAsia="zh-CN"/>
        </w:rPr>
        <w:t xml:space="preserve">盛先生</w:t>
      </w:r>
      <w:r>
        <w:rPr>
          <w:rFonts w:hint="eastAsia" w:cs="Times New Roman"/>
          <w:sz w:val="24"/>
        </w:rPr>
        <w:t xml:space="preserve">，联系电话：</w:t>
      </w:r>
      <w:r>
        <w:rPr>
          <w:rFonts w:hint="eastAsia" w:cs="Times New Roman"/>
          <w:sz w:val="24"/>
          <w:lang w:eastAsia="zh-CN"/>
        </w:rPr>
        <w:t xml:space="preserve">18795489153</w:t>
      </w:r>
      <w:r>
        <w:rPr>
          <w:rFonts w:hint="eastAsia" w:cs="Times New Roman"/>
          <w:sz w:val="24"/>
        </w:rPr>
        <w:t xml:space="preserve">；踏</w:t>
      </w:r>
      <w:r>
        <w:rPr>
          <w:rFonts w:hint="eastAsia" w:cs="Times New Roman"/>
          <w:sz w:val="24"/>
          <w:highlight w:val="none"/>
        </w:rPr>
        <w:t xml:space="preserve">勘时间：2026年</w:t>
      </w:r>
      <w:r>
        <w:rPr>
          <w:rFonts w:hint="eastAsia" w:cs="Times New Roman"/>
          <w:sz w:val="24"/>
          <w:highlight w:val="none"/>
          <w:lang w:val="en-US" w:eastAsia="zh-CN"/>
        </w:rPr>
        <w:t xml:space="preserve">5</w:t>
      </w:r>
      <w:r>
        <w:rPr>
          <w:rFonts w:hint="eastAsia" w:cs="Times New Roman"/>
          <w:sz w:val="24"/>
          <w:highlight w:val="none"/>
        </w:rPr>
        <w:t xml:space="preserve">月</w:t>
      </w:r>
      <w:r>
        <w:rPr>
          <w:rFonts w:hint="eastAsia" w:cs="Times New Roman"/>
          <w:sz w:val="24"/>
          <w:highlight w:val="none"/>
          <w:lang w:val="en-US" w:eastAsia="zh-CN"/>
        </w:rPr>
        <w:t xml:space="preserve">26</w:t>
      </w:r>
      <w:r>
        <w:rPr>
          <w:rFonts w:hint="eastAsia" w:cs="Times New Roman"/>
          <w:sz w:val="24"/>
          <w:highlight w:val="none"/>
        </w:rPr>
        <w:t xml:space="preserve">日上午9点-11点30，现场踏勘时，投标人须全面掌握现场情况，并审慎评估所有可能影响承包价格的因素。本项目施工期间所涉场内外矛盾均由中标单位自行协调解决并承担相应费用。中标后，投标人不得以未踏勘现场或踏勘不细致为由提出费用增加</w:t>
      </w:r>
      <w:r>
        <w:rPr>
          <w:rFonts w:hint="eastAsia" w:cs="Times New Roman"/>
          <w:sz w:val="24"/>
        </w:rPr>
        <w:t xml:space="preserve">、工期延长或消极履约等要求。</w:t>
      </w:r>
      <w:r/>
    </w:p>
    <w:p>
      <w:pPr>
        <w:ind w:firstLine="480"/>
        <w:spacing w:line="500" w:lineRule="exact"/>
        <w:widowControl w:val="off"/>
        <w:rPr>
          <w:rFonts w:ascii="Times New Roman" w:hAnsi="Times New Roman" w:eastAsia="宋体"/>
          <w:b/>
          <w:bCs/>
          <w:color w:val="000000"/>
          <w:sz w:val="24"/>
        </w:rPr>
      </w:pPr>
      <w:r>
        <w:rPr>
          <w:rFonts w:hint="eastAsia" w:cs="Times New Roman"/>
          <w:sz w:val="24"/>
        </w:rPr>
        <w:t xml:space="preserve">2、参加项目现场集中勘查的人员须现场提供单位介绍信（成功获取招标文件的报名截图证明和委派人员的身份证复印件），因未参加统一现场集中勘查而产生的一切后果由投标人自行承担。勘察现场所发生的费用及风险由投标人自行承担，投标人需自行准备现场勘查所需的工具和设备。</w:t>
      </w:r>
      <w:r/>
    </w:p>
    <w:p>
      <w:pPr>
        <w:pStyle w:val="649"/>
        <w:ind w:firstLine="0"/>
        <w:spacing w:before="0" w:beforeAutospacing="0" w:line="500" w:lineRule="exact"/>
        <w:widowControl w:val="off"/>
        <w:rPr>
          <w:rFonts w:ascii="Times New Roman" w:hAnsi="Times New Roman" w:eastAsia="宋体"/>
          <w:b/>
          <w:i w:val="0"/>
          <w:iCs/>
          <w:color w:val="000000"/>
          <w:sz w:val="24"/>
          <w:szCs w:val="24"/>
          <w:u w:val="none"/>
        </w:rPr>
      </w:pPr>
      <w:r>
        <w:rPr>
          <w:rFonts w:hint="eastAsia" w:ascii="Times New Roman" w:hAnsi="Times New Roman" w:eastAsia="宋体"/>
          <w:b/>
          <w:i w:val="0"/>
          <w:iCs/>
          <w:color w:val="000000"/>
          <w:sz w:val="24"/>
          <w:szCs w:val="24"/>
          <w:u w:val="none"/>
        </w:rPr>
        <w:t xml:space="preserve">五、商务要求</w:t>
      </w:r>
      <w:r/>
    </w:p>
    <w:p>
      <w:pPr>
        <w:ind w:firstLine="480"/>
        <w:spacing w:line="500" w:lineRule="exact"/>
        <w:widowControl w:val="off"/>
        <w:rPr>
          <w:rFonts w:cs="Times New Roman"/>
          <w:sz w:val="24"/>
        </w:rPr>
      </w:pPr>
      <w:r>
        <w:rPr>
          <w:rFonts w:hint="eastAsia" w:cs="Times New Roman"/>
          <w:sz w:val="24"/>
        </w:rPr>
        <w:t xml:space="preserve">1、交货期、交货方式和地点</w:t>
      </w:r>
      <w:r/>
    </w:p>
    <w:p>
      <w:pPr>
        <w:pStyle w:val="666"/>
        <w:ind w:firstLine="480"/>
        <w:spacing w:line="500" w:lineRule="exact"/>
        <w:rPr>
          <w:rFonts w:hint="eastAsia" w:hAnsi="宋体" w:eastAsia="宋体" w:cs="宋体"/>
          <w:bCs/>
          <w:sz w:val="24"/>
          <w:szCs w:val="24"/>
        </w:rPr>
      </w:pPr>
      <w:r>
        <w:rPr>
          <w:rFonts w:hint="eastAsia" w:hAnsi="宋体" w:eastAsia="宋体" w:cs="宋体"/>
          <w:bCs/>
          <w:sz w:val="24"/>
          <w:szCs w:val="24"/>
        </w:rPr>
        <w:t xml:space="preserve">（1）交货期：合同签订后120天内完成所有设备的供货及安装调试；</w:t>
      </w:r>
      <w:r/>
    </w:p>
    <w:p>
      <w:pPr>
        <w:pStyle w:val="666"/>
        <w:ind w:firstLine="480"/>
        <w:spacing w:line="500" w:lineRule="exact"/>
        <w:rPr>
          <w:rFonts w:hint="eastAsia" w:hAnsi="宋体" w:eastAsia="宋体" w:cs="宋体"/>
          <w:bCs/>
          <w:sz w:val="24"/>
          <w:szCs w:val="24"/>
        </w:rPr>
      </w:pPr>
      <w:r>
        <w:rPr>
          <w:rFonts w:hint="eastAsia" w:hAnsi="宋体" w:eastAsia="宋体" w:cs="宋体"/>
          <w:bCs/>
          <w:sz w:val="24"/>
          <w:szCs w:val="24"/>
        </w:rPr>
        <w:t xml:space="preserve">（2）交货方式：供货至指定地点并完成安装调试、通过验收后交货；</w:t>
      </w:r>
      <w:r/>
    </w:p>
    <w:p>
      <w:pPr>
        <w:pStyle w:val="666"/>
        <w:ind w:firstLine="480"/>
        <w:spacing w:line="500" w:lineRule="exact"/>
        <w:rPr>
          <w:rFonts w:hint="eastAsia" w:hAnsi="宋体" w:eastAsia="宋体" w:cs="宋体"/>
          <w:bCs/>
          <w:sz w:val="24"/>
          <w:szCs w:val="24"/>
        </w:rPr>
      </w:pPr>
      <w:r>
        <w:rPr>
          <w:rFonts w:hint="eastAsia" w:hAnsi="宋体" w:eastAsia="宋体" w:cs="宋体"/>
          <w:bCs/>
          <w:sz w:val="24"/>
          <w:szCs w:val="24"/>
        </w:rPr>
        <w:t xml:space="preserve">（3）交货地点：采购人指定地点。</w:t>
      </w:r>
      <w:r/>
    </w:p>
    <w:p>
      <w:pPr>
        <w:ind w:firstLine="480"/>
        <w:spacing w:line="500" w:lineRule="exact"/>
        <w:widowControl w:val="off"/>
        <w:rPr>
          <w:rFonts w:cs="Times New Roman"/>
          <w:sz w:val="24"/>
        </w:rPr>
      </w:pPr>
      <w:r>
        <w:rPr>
          <w:rFonts w:hint="eastAsia" w:cs="Times New Roman"/>
          <w:sz w:val="24"/>
        </w:rPr>
        <w:t xml:space="preserve">2、报价方式</w:t>
      </w:r>
      <w:r/>
    </w:p>
    <w:p>
      <w:pPr>
        <w:ind w:firstLine="480"/>
        <w:spacing w:line="500" w:lineRule="exact"/>
        <w:widowControl w:val="off"/>
        <w:rPr>
          <w:rFonts w:cs="Times New Roman"/>
          <w:sz w:val="24"/>
        </w:rPr>
      </w:pPr>
      <w:r>
        <w:rPr>
          <w:rFonts w:hint="eastAsia" w:cs="Times New Roman"/>
          <w:sz w:val="24"/>
        </w:rPr>
        <w:t xml:space="preserve">2.1本项目报价为固定总价，投标报价</w:t>
      </w:r>
      <w:r>
        <w:rPr>
          <w:rFonts w:hint="eastAsia" w:cs="Times New Roman"/>
          <w:sz w:val="24"/>
        </w:rPr>
        <w:t xml:space="preserve">应包括采购文件所确定的采购范围相应货物及其备品、备件和专用工具费用、税费及包装、运至最终目的地的运输、仓储、保险、现场吊装、检测验收、检测费、安装调试、专家咨询费、资料整理和报告出版费、项目管理费、技术支持与培训、售后服务与维保及相关劳务支出等工作所发生的全部费用、企业利润、税金和政策性文件规定以及质保期间的一切费用，但不限于上述费用，采购人不再支付其他任何费用。安装、调试、验收过程中，如发现有漏项、缺件，中标单位应无条件、无偿补齐，所发生的一切费用，视为已包含在供应商的报价之中，且并不因此而影响交货时间。</w:t>
      </w:r>
      <w:r/>
    </w:p>
    <w:p>
      <w:pPr>
        <w:ind w:firstLine="480"/>
        <w:spacing w:line="500" w:lineRule="exact"/>
        <w:widowControl w:val="off"/>
        <w:rPr>
          <w:rFonts w:cs="Times New Roman"/>
          <w:sz w:val="24"/>
        </w:rPr>
      </w:pPr>
      <w:r>
        <w:rPr>
          <w:rFonts w:hint="eastAsia" w:cs="Times New Roman"/>
          <w:sz w:val="24"/>
        </w:rPr>
        <w:t xml:space="preserve">2.2专家咨询费、资料整理和报告出版费、项目管理费是项目实施过程中必须发生的费用，直接关系到项目启动协调、技术交流、中期评估、结项验收等关键环节的顺利开展，以及环境数据报告编制、文献资料购置、报告排版打印、专家会议组织、外出考察、学术交流等管理性工作的质量。投标人应结合项目实际情况，充分考虑各项工作的实际需要，进行科学、合理的报价。</w:t>
      </w:r>
      <w:r/>
    </w:p>
    <w:p>
      <w:pPr>
        <w:ind w:firstLine="480"/>
        <w:spacing w:line="500" w:lineRule="exact"/>
        <w:widowControl w:val="off"/>
        <w:rPr>
          <w:rFonts w:cs="Times New Roman"/>
          <w:sz w:val="24"/>
        </w:rPr>
      </w:pPr>
      <w:r>
        <w:rPr>
          <w:rFonts w:hint="eastAsia" w:cs="Times New Roman"/>
          <w:sz w:val="24"/>
        </w:rPr>
        <w:t xml:space="preserve">3、质量要求：中标单位所供产品须为原厂、原装、全新、符合国家有关质量标准的产品，安装质量应符合各项技术标准和国家强制性标准，同时满足采购人的使用需求，并最终通过文物主管部门组织的正式验收。</w:t>
      </w:r>
      <w:r/>
    </w:p>
    <w:p>
      <w:pPr>
        <w:ind w:firstLine="480"/>
        <w:spacing w:line="500" w:lineRule="exact"/>
        <w:widowControl w:val="off"/>
        <w:rPr>
          <w:rFonts w:cs="Times New Roman"/>
          <w:sz w:val="24"/>
        </w:rPr>
      </w:pPr>
      <w:r>
        <w:rPr>
          <w:rFonts w:hint="eastAsia" w:cs="Times New Roman"/>
          <w:sz w:val="24"/>
        </w:rPr>
        <w:t xml:space="preserve">4、售后服务</w:t>
      </w:r>
      <w:r/>
    </w:p>
    <w:p>
      <w:pPr>
        <w:ind w:firstLine="480"/>
        <w:spacing w:line="500" w:lineRule="exact"/>
        <w:widowControl w:val="off"/>
        <w:rPr>
          <w:rFonts w:cs="Times New Roman"/>
          <w:sz w:val="24"/>
        </w:rPr>
      </w:pPr>
      <w:r>
        <w:rPr>
          <w:rFonts w:hint="eastAsia" w:cs="Times New Roman"/>
          <w:sz w:val="24"/>
        </w:rPr>
        <w:t xml:space="preserve">（1）质保期要求：提供整体项目</w:t>
      </w:r>
      <w:r>
        <w:rPr>
          <w:rFonts w:hint="eastAsia" w:cs="Times New Roman"/>
          <w:b/>
          <w:bCs/>
          <w:sz w:val="24"/>
        </w:rPr>
        <w:t xml:space="preserve">不少于五年的质量保证期</w:t>
      </w:r>
      <w:r>
        <w:rPr>
          <w:rFonts w:hint="eastAsia" w:cs="Times New Roman"/>
          <w:sz w:val="24"/>
        </w:rPr>
        <w:t xml:space="preserve">（招标文件另有规定的或国家及厂家“三包”政策更高标准的从其规定）。质量保证期自验收合格之日起计算；质量保证期内提供免费上门维修、更换配件、培训等服务。在质保期内所供货物发生故障时，中标单位须2小时内响应（远程或电话），远程无法解决的，在12小时内到场维修，无法修复时，须在48小时内提供备用产品，否则甲方有权自行或委托第三方进行维修、更换，由此产生的一切费用（包括但不限于维修费、运输费、人工费及采购替代产品的差价）由中标单位承担。</w:t>
      </w:r>
      <w:r/>
    </w:p>
    <w:p>
      <w:pPr>
        <w:ind w:firstLine="480"/>
        <w:spacing w:line="500" w:lineRule="exact"/>
        <w:widowControl w:val="off"/>
        <w:rPr>
          <w:rFonts w:cs="Times New Roman"/>
          <w:sz w:val="24"/>
        </w:rPr>
      </w:pPr>
      <w:r>
        <w:rPr>
          <w:rFonts w:hint="eastAsia" w:cs="Times New Roman"/>
          <w:sz w:val="24"/>
        </w:rPr>
        <w:t xml:space="preserve">（2）交付与安装：中标单位须负责将所有货物免费运抵采购人指定地点，并承担运输、安装等全部费用，采购人不再支付任何额外费用。</w:t>
      </w:r>
      <w:r/>
    </w:p>
    <w:p>
      <w:pPr>
        <w:ind w:firstLine="480"/>
        <w:spacing w:line="500" w:lineRule="exact"/>
        <w:widowControl w:val="off"/>
        <w:rPr>
          <w:rFonts w:cs="Times New Roman"/>
          <w:sz w:val="24"/>
        </w:rPr>
      </w:pPr>
      <w:r>
        <w:rPr>
          <w:rFonts w:hint="eastAsia" w:cs="Times New Roman"/>
          <w:sz w:val="24"/>
        </w:rPr>
        <w:t xml:space="preserve">（3）保修与后期服务：中标单位应按照生产厂家规定对所供货物提供保修。在质量保证期内，中标单位不得收取任何费用；质量保证期满后，中标单位对用户货物的维修，只收成本费，并提供终身技术服务。</w:t>
      </w:r>
      <w:r/>
    </w:p>
    <w:p>
      <w:pPr>
        <w:ind w:firstLine="480"/>
        <w:spacing w:line="500" w:lineRule="exact"/>
        <w:widowControl w:val="off"/>
        <w:rPr>
          <w:rFonts w:cs="Times New Roman"/>
          <w:sz w:val="24"/>
        </w:rPr>
      </w:pPr>
      <w:r>
        <w:rPr>
          <w:rFonts w:hint="eastAsia" w:cs="Times New Roman"/>
          <w:sz w:val="24"/>
        </w:rPr>
        <w:t xml:space="preserve">（4）如因采购人使用不当导致货物损坏，中标单位有义务协助维修。</w:t>
      </w:r>
      <w:r/>
    </w:p>
    <w:p>
      <w:pPr>
        <w:ind w:firstLine="480"/>
        <w:spacing w:line="500" w:lineRule="exact"/>
        <w:widowControl w:val="off"/>
        <w:rPr>
          <w:rFonts w:cs="Times New Roman"/>
          <w:sz w:val="24"/>
        </w:rPr>
      </w:pPr>
      <w:r>
        <w:rPr>
          <w:rFonts w:hint="eastAsia" w:cs="Times New Roman"/>
          <w:sz w:val="24"/>
        </w:rPr>
        <w:t xml:space="preserve">5、实施要求：</w:t>
      </w:r>
      <w:r/>
    </w:p>
    <w:p>
      <w:pPr>
        <w:ind w:firstLine="480"/>
        <w:spacing w:line="500" w:lineRule="exact"/>
        <w:widowControl w:val="off"/>
        <w:rPr>
          <w:rFonts w:cs="Times New Roman"/>
          <w:sz w:val="24"/>
        </w:rPr>
      </w:pPr>
      <w:r>
        <w:rPr>
          <w:rFonts w:hint="eastAsia" w:cs="Times New Roman"/>
          <w:sz w:val="24"/>
        </w:rPr>
        <w:t xml:space="preserve">（1）供应商负责自行选择适宜的运输工具及线路安排设备运输，货物运输途中的毁损、灭失等风险自行承担。</w:t>
      </w:r>
      <w:r/>
    </w:p>
    <w:p>
      <w:pPr>
        <w:ind w:firstLine="480"/>
        <w:spacing w:line="500" w:lineRule="exact"/>
        <w:widowControl w:val="off"/>
        <w:rPr>
          <w:rFonts w:cs="Times New Roman"/>
          <w:sz w:val="24"/>
          <w:highlight w:val="none"/>
        </w:rPr>
      </w:pPr>
      <w:r>
        <w:rPr>
          <w:rFonts w:hint="eastAsia" w:cs="Times New Roman"/>
          <w:sz w:val="24"/>
        </w:rPr>
        <w:t xml:space="preserve">（2）中标单位做好安全防护工作，相关的安全作业设施符合国家相关验收规范，确保安全作业。如果因中标供应商工作失职或安全防护不当造成安全事故或其他财产损失</w:t>
      </w:r>
      <w:r>
        <w:rPr>
          <w:rFonts w:hint="eastAsia" w:cs="Times New Roman"/>
          <w:sz w:val="24"/>
          <w:highlight w:val="none"/>
        </w:rPr>
        <w:t xml:space="preserve">，由此所产生的一切责任由供应商承担。</w:t>
      </w:r>
      <w:r/>
    </w:p>
    <w:p>
      <w:pPr>
        <w:ind w:firstLine="480"/>
        <w:spacing w:line="500" w:lineRule="exact"/>
        <w:widowControl w:val="off"/>
        <w:rPr>
          <w:rFonts w:cs="Times New Roman"/>
          <w:sz w:val="24"/>
          <w:highlight w:val="none"/>
        </w:rPr>
      </w:pPr>
      <w:r>
        <w:rPr>
          <w:rFonts w:hint="eastAsia" w:cs="Times New Roman"/>
          <w:sz w:val="24"/>
          <w:highlight w:val="none"/>
        </w:rPr>
        <w:t xml:space="preserve">（3）本项目实施过程中需从配电室单独引出恒湿机专用电源线，经阻燃穿线管沿吊顶或墙面，敷设至展柜底部，实现独立供电；</w:t>
      </w:r>
      <w:r>
        <w:rPr>
          <w:rFonts w:hint="eastAsia" w:cs="Times New Roman"/>
          <w:sz w:val="24"/>
          <w:highlight w:val="none"/>
        </w:rPr>
        <w:t xml:space="preserve">原有恒湿机（五十台）需根据甲方要求重新进行布置并按同样标准完成配电。需满足电力安全、甲方及深化图纸要求。</w:t>
      </w:r>
      <w:r/>
    </w:p>
    <w:p>
      <w:pPr>
        <w:ind w:firstLine="480"/>
        <w:spacing w:line="500" w:lineRule="exact"/>
        <w:widowControl w:val="off"/>
        <w:rPr>
          <w:rFonts w:cs="Times New Roman"/>
          <w:sz w:val="24"/>
        </w:rPr>
      </w:pPr>
      <w:r>
        <w:rPr>
          <w:rFonts w:hint="eastAsia" w:cs="Times New Roman"/>
          <w:sz w:val="24"/>
        </w:rPr>
        <w:t xml:space="preserve">（4）所有配置恒湿机的展柜均需配备独立烟雾探测设备，报警信号实时反馈至监控中心。</w:t>
      </w:r>
      <w:r/>
    </w:p>
    <w:p>
      <w:pPr>
        <w:ind w:firstLine="480"/>
        <w:spacing w:line="500" w:lineRule="exact"/>
        <w:widowControl w:val="off"/>
        <w:rPr>
          <w:rFonts w:cs="Times New Roman"/>
          <w:sz w:val="24"/>
          <w:highlight w:val="none"/>
        </w:rPr>
      </w:pPr>
      <w:r>
        <w:rPr>
          <w:rFonts w:hint="eastAsia" w:cs="Times New Roman"/>
          <w:sz w:val="24"/>
          <w:highlight w:val="none"/>
        </w:rPr>
        <w:t xml:space="preserve">（</w:t>
      </w:r>
      <w:r>
        <w:rPr>
          <w:rFonts w:cs="Times New Roman"/>
          <w:sz w:val="24"/>
          <w:highlight w:val="none"/>
        </w:rPr>
        <w:t xml:space="preserve">5</w:t>
      </w:r>
      <w:r>
        <w:rPr>
          <w:rFonts w:hint="eastAsia" w:cs="Times New Roman"/>
          <w:sz w:val="24"/>
          <w:highlight w:val="none"/>
        </w:rPr>
        <w:t xml:space="preserve">）系统软件应适配采购人采购的服务器，中标人须配合完成安装调试，确保系统稳定运行，相关费用已包含在投标总报价中。</w:t>
      </w:r>
      <w:r/>
    </w:p>
    <w:p>
      <w:pPr>
        <w:ind w:firstLine="480"/>
        <w:spacing w:line="500" w:lineRule="exact"/>
        <w:widowControl w:val="off"/>
        <w:rPr>
          <w:rFonts w:cs="Times New Roman"/>
          <w:sz w:val="24"/>
        </w:rPr>
      </w:pPr>
      <w:r>
        <w:rPr>
          <w:rFonts w:hint="eastAsia" w:cs="Times New Roman"/>
          <w:sz w:val="24"/>
        </w:rPr>
        <w:t xml:space="preserve">6、验收标准</w:t>
      </w:r>
      <w:r/>
    </w:p>
    <w:p>
      <w:pPr>
        <w:ind w:firstLine="480"/>
        <w:spacing w:line="500" w:lineRule="exact"/>
        <w:widowControl w:val="off"/>
        <w:rPr>
          <w:rFonts w:cs="Times New Roman"/>
          <w:sz w:val="24"/>
        </w:rPr>
      </w:pPr>
      <w:r>
        <w:rPr>
          <w:rFonts w:hint="eastAsia" w:cs="Times New Roman"/>
          <w:sz w:val="24"/>
        </w:rPr>
        <w:t xml:space="preserve">（1）采购人对中标单位提交的货物依据招标文件上的技术规格要求和国家有关质量标准进行现场初步验收，外观、说明书符合招标文件技术要求的，给予签收，初步验收不合格的不予签收并可立即要求退换。货到后，采购人需组织验收。在采购人将所有的货物按招标文件要求和国家标准或行业标准进行检测验收后，发现有其他非故意的损坏或质量问题的，由中标单位立即予以更换，不得拒绝和延误。本项目最终必须通过文物主管部门组织的正式验收。</w:t>
      </w:r>
      <w:r/>
    </w:p>
    <w:p>
      <w:pPr>
        <w:ind w:firstLine="480"/>
        <w:spacing w:line="500" w:lineRule="exact"/>
        <w:widowControl w:val="off"/>
        <w:rPr>
          <w:rFonts w:cs="Times New Roman"/>
          <w:sz w:val="24"/>
        </w:rPr>
      </w:pPr>
      <w:r>
        <w:rPr>
          <w:rFonts w:hint="eastAsia" w:cs="Times New Roman"/>
          <w:sz w:val="24"/>
        </w:rPr>
        <w:t xml:space="preserve">（2）采购人对中标单位提供的货物在使用前进行调试时，中标单位需负责安装并培训采购人的使用操作人员，并协助采购人一起调试，直到符合技术要求，采购人才做最终验收。</w:t>
      </w:r>
      <w:r/>
    </w:p>
    <w:p>
      <w:pPr>
        <w:ind w:firstLine="480"/>
        <w:spacing w:line="500" w:lineRule="exact"/>
        <w:widowControl w:val="off"/>
        <w:rPr>
          <w:rFonts w:cs="Times New Roman"/>
          <w:sz w:val="24"/>
        </w:rPr>
      </w:pPr>
      <w:r>
        <w:rPr>
          <w:rFonts w:hint="eastAsia" w:cs="Times New Roman"/>
          <w:sz w:val="24"/>
        </w:rPr>
        <w:t xml:space="preserve">（3）验收时中标单位必须在现场，验收通过后采购人出具验收结果报告；安装调试费用由中标单位负责。</w:t>
      </w:r>
      <w:r/>
    </w:p>
    <w:p>
      <w:pPr>
        <w:ind w:firstLine="480"/>
        <w:spacing w:line="500" w:lineRule="exact"/>
        <w:widowControl w:val="off"/>
        <w:rPr>
          <w:rFonts w:cs="Times New Roman"/>
          <w:sz w:val="24"/>
        </w:rPr>
      </w:pPr>
      <w:r>
        <w:rPr>
          <w:rFonts w:hint="eastAsia" w:cs="Times New Roman"/>
          <w:sz w:val="24"/>
        </w:rPr>
        <w:t xml:space="preserve">（4）</w:t>
      </w:r>
      <w:r>
        <w:rPr>
          <w:rFonts w:ascii="Segoe UI" w:hAnsi="Segoe UI" w:eastAsia="Segoe UI" w:cs="Segoe UI"/>
          <w:color w:val="0f1115"/>
          <w:sz w:val="24"/>
          <w:shd w:val="clear" w:color="auto" w:fill="ffffff"/>
        </w:rPr>
        <w:t xml:space="preserve">验收合格后，中标单位须提交由有资质单位编制的竣工财务决算报告。</w:t>
      </w:r>
      <w:r/>
    </w:p>
    <w:p>
      <w:pPr>
        <w:ind w:firstLine="480"/>
        <w:spacing w:line="500" w:lineRule="exact"/>
        <w:widowControl w:val="off"/>
        <w:rPr>
          <w:rFonts w:ascii="Segoe UI" w:hAnsi="Segoe UI" w:cs="Segoe UI"/>
          <w:sz w:val="24"/>
          <w:highlight w:val="none"/>
          <w:shd w:val="clear" w:color="auto" w:fill="ffffff"/>
        </w:rPr>
      </w:pPr>
      <w:r>
        <w:rPr>
          <w:rFonts w:hint="eastAsia" w:ascii="Segoe UI" w:hAnsi="Segoe UI" w:eastAsia="Segoe UI" w:cs="Segoe UI"/>
          <w:color w:val="0f1115"/>
          <w:sz w:val="24"/>
          <w:shd w:val="clear" w:color="auto" w:fill="ffffff"/>
        </w:rPr>
        <w:t xml:space="preserve">7、付款方式：①自合同签订生效之日起，待财政资金到账，收到乙方发票10个工作日内，甲方向乙方支付合同总价的30%款项作为预付款；②设备安装调试完毕并</w:t>
      </w:r>
      <w:r>
        <w:rPr>
          <w:rFonts w:hint="eastAsia" w:ascii="Segoe UI" w:hAnsi="Segoe UI" w:eastAsia="Segoe UI" w:cs="Segoe UI"/>
          <w:color w:val="0f1115"/>
          <w:sz w:val="24"/>
          <w:highlight w:val="none"/>
          <w:shd w:val="clear" w:color="auto" w:fill="ffffff"/>
        </w:rPr>
        <w:t xml:space="preserve">经文物主管部门验收合格，待财政资金到账，收到乙方发票10个工作日内甲方向乙方支付至合同价的</w:t>
      </w:r>
      <w:r>
        <w:rPr>
          <w:rFonts w:hint="eastAsia" w:ascii="Segoe UI" w:hAnsi="Segoe UI" w:eastAsia="Segoe UI" w:cs="Segoe UI"/>
          <w:sz w:val="24"/>
          <w:highlight w:val="none"/>
          <w:shd w:val="clear" w:color="auto" w:fill="ffffff"/>
        </w:rPr>
        <w:t xml:space="preserve">100%</w:t>
      </w:r>
      <w:r>
        <w:rPr>
          <w:rFonts w:hint="eastAsia" w:ascii="宋体" w:hAnsi="宋体" w:eastAsia="宋体" w:cs="微软雅黑"/>
          <w:sz w:val="24"/>
          <w:highlight w:val="none"/>
          <w:shd w:val="clear" w:color="auto" w:fill="ffffff"/>
        </w:rPr>
        <w:t xml:space="preserve">。</w:t>
      </w:r>
      <w:r/>
    </w:p>
    <w:p>
      <w:pPr>
        <w:spacing w:line="500" w:lineRule="exact"/>
        <w:widowControl w:val="off"/>
        <w:rPr>
          <w:rFonts w:hint="eastAsia" w:ascii="宋体" w:hAnsi="宋体" w:cs="宋体"/>
          <w:bCs/>
          <w:i w:val="0"/>
          <w:iCs w:val="0"/>
          <w:color w:val="auto"/>
          <w:sz w:val="24"/>
          <w:highlight w:val="none"/>
          <w:u w:val="none"/>
          <w:lang w:val="en-US" w:eastAsia="zh-CN"/>
        </w:rPr>
      </w:pPr>
      <w:r>
        <w:rPr>
          <w:rFonts w:hint="eastAsia" w:ascii="宋体" w:hAnsi="宋体" w:cs="宋体"/>
          <w:bCs/>
          <w:i w:val="0"/>
          <w:iCs w:val="0"/>
          <w:color w:val="auto"/>
          <w:sz w:val="24"/>
          <w:highlight w:val="none"/>
          <w:u w:val="none"/>
          <w:lang w:val="en-US" w:eastAsia="zh-CN"/>
        </w:rPr>
        <w:t xml:space="preserve">8、中标人在签订合同前，须向采购人提供货物样品（展柜恒湿机（小型）、展柜恒湿机（大型）、展柜微环境测控器），并配合采购人对上述样品中标注“▲”的重要参数进行功能验证；同时，提供“馆藏文物环境分布式智能监控系统软件”中标注“▲”的重要参数的功能演示，供采购人核验。</w:t>
      </w:r>
      <w:r/>
    </w:p>
    <w:p>
      <w:pPr>
        <w:spacing w:line="500" w:lineRule="exact"/>
        <w:widowControl w:val="off"/>
        <w:rPr>
          <w:rFonts w:hint="eastAsia" w:ascii="宋体" w:hAnsi="宋体" w:cs="宋体"/>
          <w:bCs/>
          <w:i w:val="0"/>
          <w:iCs w:val="0"/>
          <w:color w:val="auto"/>
          <w:sz w:val="24"/>
          <w:highlight w:val="none"/>
          <w:u w:val="none"/>
          <w:lang w:val="en-US" w:eastAsia="zh-CN"/>
        </w:rPr>
      </w:pPr>
      <w:r>
        <w:rPr>
          <w:rFonts w:hint="eastAsia" w:ascii="Times New Roman" w:hAnsi="Times New Roman" w:eastAsia="宋体" w:cs="Times New Roman"/>
          <w:sz w:val="24"/>
          <w:highlight w:val="none"/>
        </w:rPr>
        <w:t xml:space="preserve">中标人如无法提供样品/软件演示，或样品</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软件</w:t>
      </w:r>
      <w:r>
        <w:rPr>
          <w:rFonts w:hint="eastAsia" w:ascii="Times New Roman" w:hAnsi="Times New Roman" w:eastAsia="宋体" w:cs="Times New Roman"/>
          <w:sz w:val="24"/>
          <w:highlight w:val="none"/>
        </w:rPr>
        <w:t xml:space="preserve">功能验证未通过，或存在虚假响应谋取中标的情形，中标无效，并由中标人承担相应的法律责任。</w:t>
      </w:r>
      <w:r/>
    </w:p>
    <w:p>
      <w:pPr>
        <w:spacing w:line="500" w:lineRule="exact"/>
        <w:widowControl w:val="off"/>
        <w:rPr>
          <w:rFonts w:cs="Times New Roman"/>
          <w:b/>
          <w:bCs/>
          <w:sz w:val="24"/>
        </w:rPr>
      </w:pPr>
      <w:r>
        <w:rPr>
          <w:rFonts w:hint="eastAsia" w:cs="Times New Roman"/>
          <w:b/>
          <w:bCs/>
          <w:color w:val="ff0000"/>
          <w:sz w:val="24"/>
          <w:lang w:val="en-US" w:eastAsia="zh-CN"/>
        </w:rPr>
        <w:t xml:space="preserve">9</w:t>
      </w:r>
      <w:r>
        <w:rPr>
          <w:rFonts w:hint="eastAsia" w:cs="Times New Roman"/>
          <w:b/>
          <w:bCs/>
          <w:color w:val="ff0000"/>
          <w:sz w:val="24"/>
        </w:rPr>
        <w:t xml:space="preserve">、本项目不接受进口产品投标，同时本项目采购的产品不属于《节能产品政府采购品目清单》和《环境标志产品政府采购品目清单》范围。</w:t>
      </w:r>
      <w:r/>
    </w:p>
    <w:p>
      <w:pPr>
        <w:pStyle w:val="649"/>
        <w:ind w:firstLine="0"/>
        <w:spacing w:before="0" w:beforeAutospacing="0" w:line="500" w:lineRule="exact"/>
        <w:widowControl w:val="off"/>
        <w:rPr>
          <w:rFonts w:ascii="Times New Roman" w:hAnsi="Times New Roman" w:eastAsia="宋体"/>
          <w:b/>
          <w:i w:val="0"/>
          <w:iCs/>
          <w:color w:val="000000"/>
          <w:sz w:val="24"/>
          <w:szCs w:val="24"/>
          <w:u w:val="none"/>
        </w:rPr>
      </w:pPr>
      <w:r>
        <w:rPr>
          <w:rFonts w:hint="eastAsia" w:ascii="Times New Roman" w:hAnsi="Times New Roman" w:eastAsia="宋体"/>
          <w:b/>
          <w:i w:val="0"/>
          <w:iCs/>
          <w:color w:val="000000"/>
          <w:sz w:val="24"/>
          <w:szCs w:val="24"/>
          <w:u w:val="none"/>
        </w:rPr>
        <w:t xml:space="preserve">六、项目方案及其他</w:t>
      </w:r>
      <w:r/>
    </w:p>
    <w:p>
      <w:pPr>
        <w:ind w:firstLine="480"/>
        <w:spacing w:line="500" w:lineRule="exact"/>
        <w:widowControl w:val="off"/>
        <w:rPr>
          <w:rFonts w:hint="eastAsia" w:cs="Times New Roman"/>
          <w:sz w:val="24"/>
        </w:rPr>
      </w:pPr>
      <w:r>
        <w:rPr>
          <w:rFonts w:hint="default" w:cs="Times New Roman"/>
          <w:sz w:val="24"/>
        </w:rPr>
        <w:t xml:space="preserve">投标人应根据本项目采购需求、现场踏勘情况及文物保护的特殊要求，提供详尽、可行、具有针对性的项目方案。实现文物展柜微环境的“稳定”与“洁净”控制，确保设备部署规范、系统运行可靠。</w:t>
      </w:r>
      <w:r/>
    </w:p>
    <w:p>
      <w:pPr>
        <w:ind w:firstLine="480"/>
        <w:spacing w:line="500" w:lineRule="exact"/>
        <w:widowControl w:val="off"/>
        <w:rPr>
          <w:rFonts w:hint="eastAsia" w:ascii="宋体" w:hAnsi="宋体" w:eastAsia="宋体" w:cs="宋体"/>
          <w:sz w:val="24"/>
        </w:rPr>
        <w:outlineLvl w:val="2"/>
      </w:pPr>
      <w:r>
        <w:rPr>
          <w:rFonts w:hint="eastAsia" w:ascii="宋体" w:hAnsi="宋体" w:eastAsia="宋体" w:cs="宋体"/>
          <w:sz w:val="24"/>
        </w:rPr>
        <w:t xml:space="preserve">1、馆藏文物环境监控系统方案</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投标人需围绕“稳定”与“洁净”的文物保护核心目标，结合展厅环境现状及展柜分布特点，提供馆藏文物环境监控系统方案，至少包含以下内容：</w:t>
      </w:r>
      <w:r/>
    </w:p>
    <w:p>
      <w:pPr>
        <w:ind w:left="479" w:firstLine="64"/>
        <w:spacing w:line="500" w:lineRule="exact"/>
        <w:widowControl w:val="off"/>
        <w:rPr>
          <w:rFonts w:hint="eastAsia" w:ascii="宋体" w:hAnsi="宋体" w:eastAsia="宋体" w:cs="宋体"/>
          <w:sz w:val="24"/>
        </w:rPr>
      </w:pPr>
      <w:r>
        <w:rPr>
          <w:rFonts w:hint="eastAsia" w:ascii="宋体" w:hAnsi="宋体" w:eastAsia="宋体" w:cs="宋体"/>
          <w:sz w:val="24"/>
        </w:rPr>
        <w:t xml:space="preserve">（1）方案原理：</w:t>
      </w:r>
      <w:r/>
    </w:p>
    <w:p>
      <w:pPr>
        <w:spacing w:line="500" w:lineRule="exact"/>
        <w:widowControl w:val="off"/>
        <w:rPr>
          <w:rFonts w:hint="eastAsia" w:ascii="宋体" w:hAnsi="宋体" w:eastAsia="宋体" w:cs="宋体"/>
          <w:sz w:val="24"/>
        </w:rPr>
      </w:pPr>
      <w:r>
        <w:rPr>
          <w:rFonts w:hint="eastAsia" w:ascii="宋体" w:hAnsi="宋体" w:eastAsia="宋体" w:cs="宋体"/>
          <w:sz w:val="24"/>
        </w:rPr>
        <w:t xml:space="preserve">①提供系统方案原理图，清晰展示数据采集、传输、控制反馈的闭环逻辑，图中需标注各层级设备名称及数量。</w:t>
      </w:r>
      <w:r/>
    </w:p>
    <w:p>
      <w:pPr>
        <w:spacing w:line="500" w:lineRule="exact"/>
        <w:widowControl w:val="off"/>
        <w:rPr>
          <w:rFonts w:hint="eastAsia" w:ascii="宋体" w:hAnsi="宋体" w:eastAsia="宋体" w:cs="宋体"/>
          <w:sz w:val="24"/>
        </w:rPr>
      </w:pPr>
      <w:r>
        <w:rPr>
          <w:rFonts w:hint="eastAsia" w:ascii="宋体" w:hAnsi="宋体" w:eastAsia="宋体" w:cs="宋体"/>
          <w:sz w:val="24"/>
        </w:rPr>
        <w:t xml:space="preserve">②提供系统通信方式交互说明，列明每种设备（恒湿机、测控器、传感器探头、网关、中继）采用的通信协议及数据流向。其中，恒湿机须支持以太网、4G、433MHz通信方式，测控器须支持以太网、RS485通信方式，传感器探头须支持RS485通信方式，无线网关及中继须采用433MHz或国家其他免费工业频段。</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（2）系统架构：</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①提供分层系统架构图，标明感知层、传输层、应用层的设备部署。</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②说明末端设备到通讯设备间的通信安全保障措施，须包含数据加密方式（支持三种及以上加密算法）和断网数据本地存储功能。</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③说明系统的数据上报周期（可设置≥1分钟）和传输成功率（≥99.9%）保障措施。</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（3）关键技术说明：</w:t>
      </w:r>
      <w:r/>
    </w:p>
    <w:p>
      <w:pPr>
        <w:ind w:firstLine="480"/>
        <w:spacing w:line="500" w:lineRule="exact"/>
        <w:widowControl w:val="off"/>
        <w:rPr>
          <w:rFonts w:hint="eastAsia" w:ascii="宋体" w:hAnsi="宋体" w:eastAsia="宋体" w:cs="宋体"/>
          <w:sz w:val="24"/>
          <w:lang w:eastAsia="zh-CN"/>
        </w:rPr>
      </w:pPr>
      <w:r>
        <w:rPr>
          <w:rFonts w:hint="eastAsia" w:ascii="宋体" w:hAnsi="宋体" w:eastAsia="宋体" w:cs="宋体"/>
          <w:sz w:val="24"/>
        </w:rPr>
        <w:t xml:space="preserve">①说明展柜恒湿机“空气取水”技术原理</w:t>
      </w:r>
      <w:r>
        <w:rPr>
          <w:rFonts w:hint="eastAsia" w:ascii="宋体" w:hAnsi="宋体" w:eastAsia="宋体" w:cs="宋体"/>
          <w:sz w:val="24"/>
          <w:lang w:eastAsia="zh-CN"/>
        </w:rPr>
        <w:t xml:space="preserve">，</w:t>
      </w:r>
      <w:r>
        <w:rPr>
          <w:rFonts w:hint="eastAsia" w:ascii="宋体" w:hAnsi="宋体" w:eastAsia="宋体" w:cs="宋体"/>
          <w:sz w:val="24"/>
        </w:rPr>
        <w:t xml:space="preserve">及其在本项目</w:t>
      </w:r>
      <w:r>
        <w:rPr>
          <w:rFonts w:hint="eastAsia" w:ascii="宋体" w:hAnsi="宋体" w:eastAsia="宋体" w:cs="宋体"/>
          <w:sz w:val="24"/>
          <w:lang w:val="en-US" w:eastAsia="zh-CN"/>
        </w:rPr>
        <w:t xml:space="preserve">中</w:t>
      </w:r>
      <w:r>
        <w:rPr>
          <w:rFonts w:hint="eastAsia" w:ascii="宋体" w:hAnsi="宋体" w:eastAsia="宋体" w:cs="宋体"/>
          <w:sz w:val="24"/>
        </w:rPr>
        <w:t xml:space="preserve">的适用性</w:t>
      </w:r>
      <w:r>
        <w:rPr>
          <w:rFonts w:hint="eastAsia" w:ascii="宋体" w:hAnsi="宋体" w:eastAsia="宋体" w:cs="宋体"/>
          <w:sz w:val="24"/>
          <w:lang w:eastAsia="zh-CN"/>
        </w:rPr>
        <w:t xml:space="preserve">。</w:t>
      </w:r>
      <w:r/>
    </w:p>
    <w:p>
      <w:pPr>
        <w:ind w:firstLine="480"/>
        <w:spacing w:line="5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②说明展柜恒湿机在本项目不同展柜空间中的适用性，</w:t>
      </w:r>
      <w:r>
        <w:rPr>
          <w:rFonts w:hint="eastAsia" w:ascii="宋体" w:hAnsi="宋体" w:eastAsia="宋体" w:cs="宋体"/>
          <w:sz w:val="24"/>
        </w:rPr>
        <w:t xml:space="preserve">小型恒湿机适用于不超过5m³展柜空间，大型恒湿机适用于不超过20m³展柜空间。</w:t>
      </w:r>
      <w:r>
        <w:rPr>
          <w:rFonts w:hint="eastAsia" w:ascii="宋体" w:hAnsi="宋体" w:eastAsia="宋体" w:cs="宋体"/>
          <w:sz w:val="24"/>
          <w:lang w:val="en-US" w:eastAsia="zh-CN"/>
        </w:rPr>
        <w:t xml:space="preserve"> </w:t>
      </w:r>
      <w:r/>
    </w:p>
    <w:p>
      <w:pPr>
        <w:ind w:firstLine="480"/>
        <w:spacing w:line="500" w:lineRule="exact"/>
        <w:widowControl w:val="off"/>
        <w:rPr>
          <w:rFonts w:hint="eastAsia" w:ascii="宋体" w:hAnsi="宋体" w:eastAsia="宋体" w:cs="宋体"/>
          <w:sz w:val="24"/>
          <w:lang w:eastAsia="zh-CN"/>
        </w:rPr>
      </w:pPr>
      <w:r>
        <w:rPr>
          <w:rFonts w:hint="eastAsia" w:ascii="宋体" w:hAnsi="宋体" w:eastAsia="宋体" w:cs="宋体"/>
          <w:sz w:val="24"/>
          <w:lang w:val="en-US" w:eastAsia="zh-CN"/>
        </w:rPr>
        <w:t xml:space="preserve">③</w:t>
      </w:r>
      <w:r>
        <w:rPr>
          <w:rFonts w:hint="eastAsia" w:ascii="宋体" w:hAnsi="宋体" w:eastAsia="宋体" w:cs="宋体"/>
          <w:sz w:val="24"/>
        </w:rPr>
        <w:t xml:space="preserve">说明物联网无线通信技术的组网方式（多路由自组网、路径自动发现、自动修复），单台网关支持最多64台设备连接和管理，无线传输最大距离≥800m（室外可视距离，无路由）</w:t>
      </w:r>
      <w:r>
        <w:rPr>
          <w:rFonts w:hint="eastAsia" w:ascii="宋体" w:hAnsi="宋体" w:eastAsia="宋体" w:cs="宋体"/>
          <w:sz w:val="24"/>
          <w:lang w:eastAsia="zh-CN"/>
        </w:rPr>
        <w:t xml:space="preserve">。</w:t>
      </w:r>
      <w:r/>
    </w:p>
    <w:p>
      <w:pPr>
        <w:ind w:firstLine="480"/>
        <w:spacing w:line="500" w:lineRule="exact"/>
        <w:widowControl w:val="off"/>
        <w:rPr>
          <w:rFonts w:hint="eastAsia" w:ascii="宋体" w:hAnsi="宋体" w:eastAsia="宋体" w:cs="宋体"/>
          <w:sz w:val="24"/>
          <w:highlight w:val="none"/>
        </w:rPr>
        <w:outlineLvl w:val="2"/>
      </w:pPr>
      <w:r>
        <w:rPr>
          <w:rFonts w:hint="eastAsia" w:ascii="宋体" w:hAnsi="宋体" w:eastAsia="宋体" w:cs="宋体"/>
          <w:sz w:val="24"/>
          <w:highlight w:val="none"/>
        </w:rPr>
        <w:t xml:space="preserve">2、文物保存微环境调控方案</w:t>
      </w:r>
      <w:r/>
    </w:p>
    <w:p>
      <w:pPr>
        <w:ind w:firstLine="480"/>
        <w:spacing w:line="5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投标人需结合本项目配置的恒湿机、传感器等设备，提供文物保存微环境调控方案，至少包含以下内容：</w:t>
      </w:r>
      <w:r/>
    </w:p>
    <w:p>
      <w:pPr>
        <w:ind w:firstLine="480"/>
        <w:spacing w:line="5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（1）调控策略：</w:t>
      </w:r>
      <w:r/>
    </w:p>
    <w:p>
      <w:pPr>
        <w:ind w:firstLine="480"/>
        <w:spacing w:line="5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①根据展柜恒湿机技术参数，说明湿度调控目标值的设定方案。恒湿机调控范围为湿度30%~70%RH，调控精度≤±2%RH，说明在该范围内针对不同展柜的调控目标设定依据。</w:t>
      </w:r>
      <w:r/>
    </w:p>
    <w:p>
      <w:pPr>
        <w:ind w:firstLine="480"/>
        <w:spacing w:line="5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②说明恒湿机运行模式设置方案，包括加湿模式（有水或无水）选择、启停条件、目标湿度设定方式。</w:t>
      </w:r>
      <w:r/>
    </w:p>
    <w:p>
      <w:pPr>
        <w:ind w:firstLine="480"/>
        <w:spacing w:line="5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③说明多机分布式扩展（一主多从）的协同调控机制，明确各展厅恒湿机的主从配置关系。</w:t>
      </w:r>
      <w:r/>
    </w:p>
    <w:p>
      <w:pPr>
        <w:ind w:firstLine="480"/>
        <w:spacing w:line="5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（2）告警与应急处理：</w:t>
      </w:r>
      <w:r/>
    </w:p>
    <w:p>
      <w:pPr>
        <w:ind w:firstLine="480"/>
        <w:spacing w:line="5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①根据恒湿机三级告警功能，列明各级告警的触发条件和响应措施：</w:t>
      </w:r>
      <w:r/>
    </w:p>
    <w:p>
      <w:pPr>
        <w:ind w:firstLine="480"/>
        <w:spacing w:line="5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·一级告警：温湿度传感器探头监测湿度超过设定阈值时触发，屏幕端显示告警等级；</w:t>
      </w:r>
      <w:r/>
    </w:p>
    <w:p>
      <w:pPr>
        <w:ind w:firstLine="480"/>
        <w:spacing w:line="5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·二级告警：光照传感器探头与设备断开连接时触发，屏幕端显示告警等级；</w:t>
      </w:r>
      <w:r/>
    </w:p>
    <w:p>
      <w:pPr>
        <w:ind w:firstLine="480"/>
        <w:spacing w:line="5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·三级告警：温湿度传感器探头与设备断开连接时触发，屏幕端显示告警等级，设备自动停机。</w:t>
      </w:r>
      <w:r/>
    </w:p>
    <w:p>
      <w:pPr>
        <w:ind w:firstLine="480"/>
        <w:spacing w:line="5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②说明各展厅配置的独立烟雾探测设备的报警信号反馈机制，报警信号须实时反馈至监控中心。</w:t>
      </w:r>
      <w:r/>
    </w:p>
    <w:p>
      <w:pPr>
        <w:ind w:firstLine="480"/>
        <w:spacing w:line="5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③说明断电、设备故障等异常情况下的应急保障措施。</w:t>
      </w:r>
      <w:r/>
    </w:p>
    <w:p>
      <w:pPr>
        <w:ind w:firstLine="480"/>
        <w:spacing w:line="5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（3）环境调控效果验证：</w:t>
      </w:r>
      <w:r/>
    </w:p>
    <w:p>
      <w:pPr>
        <w:ind w:firstLine="480"/>
        <w:spacing w:line="5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①说明调控效果的评价指标，至少包含：湿度达标率、湿度波动范围、调控响应时间。</w:t>
      </w:r>
      <w:r/>
    </w:p>
    <w:p>
      <w:pPr>
        <w:ind w:firstLine="480"/>
        <w:spacing w:line="5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②说明调控效果数据的采集方法和评估周期，调控效果须满足恒湿机调控精度≤±2%RH的要求。</w:t>
      </w:r>
      <w:r/>
    </w:p>
    <w:p>
      <w:pPr>
        <w:ind w:firstLine="480"/>
        <w:spacing w:line="500" w:lineRule="exact"/>
        <w:widowControl w:val="off"/>
        <w:rPr>
          <w:rFonts w:hint="eastAsia" w:ascii="宋体" w:hAnsi="宋体" w:eastAsia="宋体" w:cs="宋体"/>
          <w:sz w:val="24"/>
          <w:highlight w:val="none"/>
        </w:rPr>
        <w:outlineLvl w:val="2"/>
      </w:pPr>
      <w:r>
        <w:rPr>
          <w:rFonts w:hint="eastAsia" w:ascii="宋体" w:hAnsi="宋体" w:eastAsia="宋体" w:cs="宋体"/>
          <w:sz w:val="24"/>
          <w:highlight w:val="none"/>
        </w:rPr>
        <w:t xml:space="preserve">3、项目部署方案</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highlight w:val="none"/>
        </w:rPr>
        <w:t xml:space="preserve">投标人需结合现场踏勘的实际</w:t>
      </w:r>
      <w:r>
        <w:rPr>
          <w:rFonts w:hint="eastAsia" w:ascii="宋体" w:hAnsi="宋体" w:eastAsia="宋体" w:cs="宋体"/>
          <w:sz w:val="24"/>
        </w:rPr>
        <w:t xml:space="preserve">展厅布局、展柜结构尺寸等，提供部署方案，至少包含以下内容：</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（1）设施设备的部署位置图：</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根据展厅布局，在部署图中标注以下设备的布设位置，设备数量须与采购清单一致：</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·88.1延米需进行密闭性改造的展柜位置，其中16.9延米须同步进行灯具改造；</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·44台展柜恒湿机的布设位置（小型30台、大型14台）；</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·41台展柜微环境测控器的布设位置；</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·44个温湿度传感器探头、18个光照传感器探头的布设位置；</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·5台无线网关、6台无线中继的布设位置。</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（2）展柜恒湿机的用电线路敷设图：</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①提供详细的电气施工图，标注44台恒湿机专用电源线的路径走向及穿线管材质。</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②明确承诺所有强电线路敷设符合国家《建筑电气工程施工质量验收规范》（GB 50303）要求，做到绝缘、防火、美观，杜绝安全隐患。</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（3）原有设备处置：</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说明对馆内现有50台恒湿机重新布置的具体方案，包括搬迁顺序、新位置规划，并按同样标准完成配电。</w:t>
      </w:r>
      <w:r/>
    </w:p>
    <w:p>
      <w:pPr>
        <w:ind w:firstLine="480"/>
        <w:spacing w:line="500" w:lineRule="exact"/>
        <w:widowControl w:val="off"/>
        <w:rPr>
          <w:rFonts w:hint="eastAsia" w:ascii="宋体" w:hAnsi="宋体" w:eastAsia="宋体" w:cs="宋体"/>
          <w:sz w:val="24"/>
        </w:rPr>
        <w:outlineLvl w:val="2"/>
      </w:pPr>
      <w:r>
        <w:rPr>
          <w:rFonts w:hint="eastAsia" w:ascii="宋体" w:hAnsi="宋体" w:eastAsia="宋体" w:cs="宋体"/>
          <w:sz w:val="24"/>
        </w:rPr>
        <w:t xml:space="preserve">4、安装方案</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投标人需结合现场踏勘的展柜类型、结构特点及文物保护要求，提供安装方案，至少包含以下内容：</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（1）展柜密闭性改造实施方案：</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①说明88.1延米展柜的改造工艺流程：拆除原有底板、背板→铝箔纸包覆防潮防污染→正面铺设亚麻布→更换密封胶条→玻璃与结构相接处打密封胶。</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②说明改造过程中的文物保护措施。</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③说明16.9延米展柜灯具改造方案，采用可调节亮度的LED导轨射灯（含可调照射角度与不可调照射角度两种），安装时根据柜体实际结构调整灯具位置。</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（2）展柜密闭性改造效果的测试方案：</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①说明改造后换气率测试方法，测试须符合GB/T 36110-2018标准，达到密封展柜标准（换气率≤1d⁻¹）。</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②说明抽检测试的抽样比例和测试不合格的整改措施。</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（3）设备安装连接方案：</w:t>
      </w:r>
      <w:r/>
    </w:p>
    <w:p>
      <w:pPr>
        <w:ind w:firstLine="480"/>
        <w:spacing w:line="500" w:lineRule="exact"/>
        <w:widowControl w:val="off"/>
        <w:rPr>
          <w:rFonts w:hint="eastAsia" w:ascii="宋体" w:hAnsi="宋体" w:eastAsia="宋体" w:cs="宋体"/>
          <w:sz w:val="24"/>
          <w:shd w:val="clear" w:color="auto" w:fill="ff0000"/>
        </w:rPr>
      </w:pPr>
      <w:r>
        <w:rPr>
          <w:rFonts w:hint="eastAsia" w:ascii="宋体" w:hAnsi="宋体" w:eastAsia="宋体" w:cs="宋体"/>
          <w:sz w:val="24"/>
        </w:rPr>
        <w:t xml:space="preserve">①提供恒湿机与展柜连接示意图，标注进出气管</w:t>
      </w:r>
      <w:r>
        <w:rPr>
          <w:rFonts w:hint="eastAsia" w:ascii="宋体" w:hAnsi="宋体" w:eastAsia="宋体" w:cs="宋体"/>
          <w:sz w:val="24"/>
          <w:lang w:val="en-US" w:eastAsia="zh-CN"/>
        </w:rPr>
        <w:t xml:space="preserve">≥DN20</w:t>
      </w:r>
      <w:r>
        <w:rPr>
          <w:rFonts w:hint="eastAsia" w:ascii="宋体" w:hAnsi="宋体" w:eastAsia="宋体" w:cs="宋体"/>
          <w:sz w:val="24"/>
        </w:rPr>
        <w:t xml:space="preserve">接口位置</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②提供测控器与传感器探头、恒湿机之间的通信连接示意图</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单台</w:t>
      </w:r>
      <w:r>
        <w:rPr>
          <w:rFonts w:hint="eastAsia" w:ascii="宋体" w:hAnsi="宋体" w:eastAsia="宋体" w:cs="宋体"/>
          <w:sz w:val="24"/>
        </w:rPr>
        <w:t xml:space="preserve">测控器须支持同时连接探头数量≥12个，支持多类型探头混插</w:t>
      </w:r>
      <w:r>
        <w:rPr>
          <w:rFonts w:hint="eastAsia" w:ascii="宋体" w:hAnsi="宋体" w:eastAsia="宋体" w:cs="宋体"/>
          <w:sz w:val="24"/>
          <w:lang w:val="en-US" w:eastAsia="zh-CN"/>
        </w:rPr>
        <w:t xml:space="preserve">使用</w:t>
      </w:r>
      <w:r>
        <w:rPr>
          <w:rFonts w:hint="eastAsia" w:ascii="宋体" w:hAnsi="宋体" w:eastAsia="宋体" w:cs="宋体"/>
          <w:sz w:val="24"/>
        </w:rPr>
        <w:t xml:space="preserve">。</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③</w:t>
      </w:r>
      <w:r>
        <w:rPr>
          <w:rFonts w:hint="eastAsia" w:ascii="宋体" w:hAnsi="宋体" w:eastAsia="宋体" w:cs="宋体"/>
          <w:sz w:val="24"/>
        </w:rPr>
        <w:t xml:space="preserve">提供电气安全监测模块与恒湿机的</w:t>
      </w:r>
      <w:r>
        <w:rPr>
          <w:rFonts w:hint="eastAsia" w:ascii="宋体" w:hAnsi="宋体" w:eastAsia="宋体" w:cs="宋体"/>
          <w:sz w:val="24"/>
          <w:lang w:val="en-US" w:eastAsia="zh-CN"/>
        </w:rPr>
        <w:t xml:space="preserve">电气</w:t>
      </w:r>
      <w:r>
        <w:rPr>
          <w:rFonts w:hint="eastAsia" w:ascii="宋体" w:hAnsi="宋体" w:eastAsia="宋体" w:cs="宋体"/>
          <w:sz w:val="24"/>
        </w:rPr>
        <w:t xml:space="preserve">连接图，标注电源输入、模块输出至恒湿机的线路。</w:t>
      </w:r>
      <w:r/>
    </w:p>
    <w:p>
      <w:pPr>
        <w:ind w:firstLine="480"/>
        <w:spacing w:line="500" w:lineRule="exact"/>
        <w:widowControl w:val="off"/>
        <w:rPr>
          <w:rFonts w:hint="default" w:ascii="宋体" w:hAnsi="宋体" w:eastAsia="宋体" w:cs="宋体"/>
          <w:sz w:val="24"/>
          <w:lang w:val="en-US" w:eastAsia="zh-CN"/>
        </w:rPr>
      </w:pPr>
      <w:r>
        <w:rPr>
          <w:rFonts w:hint="eastAsia" w:ascii="宋体" w:hAnsi="宋体" w:eastAsia="宋体" w:cs="宋体"/>
          <w:sz w:val="24"/>
          <w:lang w:val="en-US" w:eastAsia="zh-CN"/>
        </w:rPr>
        <w:t xml:space="preserve">④说明所有配置恒湿机的展柜均配备独立烟雾探测设备，报警信号实时反馈至监控中心。</w:t>
      </w:r>
      <w:r/>
    </w:p>
    <w:p>
      <w:pPr>
        <w:ind w:firstLine="480"/>
        <w:spacing w:line="500" w:lineRule="exact"/>
        <w:widowControl w:val="off"/>
        <w:rPr>
          <w:rFonts w:hint="eastAsia" w:ascii="宋体" w:hAnsi="宋体" w:eastAsia="宋体" w:cs="宋体"/>
          <w:sz w:val="24"/>
        </w:rPr>
        <w:outlineLvl w:val="2"/>
      </w:pPr>
      <w:r>
        <w:rPr>
          <w:rFonts w:hint="eastAsia" w:ascii="宋体" w:hAnsi="宋体" w:eastAsia="宋体" w:cs="宋体"/>
          <w:sz w:val="24"/>
        </w:rPr>
        <w:t xml:space="preserve">5、系统兼容性方案</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投标人需针对纪念馆现有展柜恒湿机控制系统，提供系统兼容性方案，至少包含以下内容：</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（1）兼容性技术架构：</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①提供系统的互通架构图，标注数据交互方式和协议类型。</w:t>
      </w:r>
      <w:r/>
    </w:p>
    <w:p>
      <w:pPr>
        <w:ind w:firstLine="480"/>
        <w:spacing w:line="500" w:lineRule="exact"/>
        <w:widowControl w:val="off"/>
        <w:rPr>
          <w:rFonts w:hint="default" w:ascii="宋体" w:hAnsi="宋体" w:eastAsia="宋体" w:cs="宋体"/>
          <w:sz w:val="24"/>
          <w:lang w:val="en-US" w:eastAsia="zh-CN"/>
        </w:rPr>
      </w:pPr>
      <w:r>
        <w:rPr>
          <w:rFonts w:hint="eastAsia" w:ascii="宋体" w:hAnsi="宋体" w:eastAsia="宋体" w:cs="宋体"/>
          <w:sz w:val="24"/>
          <w:lang w:val="en-US" w:eastAsia="zh-CN"/>
        </w:rPr>
        <w:t xml:space="preserve">②说明本项目配置的</w:t>
      </w:r>
      <w:r>
        <w:rPr>
          <w:rFonts w:hint="eastAsia" w:ascii="宋体" w:hAnsi="宋体" w:eastAsia="宋体" w:cs="宋体"/>
          <w:sz w:val="24"/>
        </w:rPr>
        <w:t xml:space="preserve">馆藏文物环境分布式智能监控系统</w:t>
      </w:r>
      <w:r>
        <w:rPr>
          <w:rFonts w:hint="eastAsia" w:ascii="宋体" w:hAnsi="宋体" w:eastAsia="宋体" w:cs="宋体"/>
          <w:sz w:val="24"/>
          <w:lang w:val="en-US" w:eastAsia="zh-CN"/>
        </w:rPr>
        <w:t xml:space="preserve">对第三方系统的对接方式。</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（2）兼容协议和兼容接口设计：</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①提供兼容三方系统协议的接口设计文档，设计文档中须包含监测、告警相关接口。</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②明确承诺系统兼容现有展柜恒湿机控制系统。</w:t>
      </w:r>
      <w:r/>
    </w:p>
    <w:p>
      <w:pPr>
        <w:ind w:firstLine="480"/>
        <w:spacing w:line="500" w:lineRule="exact"/>
        <w:widowControl w:val="off"/>
        <w:rPr>
          <w:rFonts w:hint="eastAsia" w:ascii="宋体" w:hAnsi="宋体" w:eastAsia="宋体" w:cs="宋体"/>
          <w:sz w:val="24"/>
        </w:rPr>
        <w:outlineLvl w:val="2"/>
      </w:pPr>
      <w:r>
        <w:rPr>
          <w:rFonts w:hint="eastAsia" w:ascii="宋体" w:hAnsi="宋体" w:eastAsia="宋体" w:cs="宋体"/>
          <w:sz w:val="24"/>
        </w:rPr>
        <w:t xml:space="preserve">6、项目现场调试方案</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投标人需结合展厅实际运行环境，提供项目现场调试方案，至少包含以下内容：</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（1）软件调试：</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①说明系统软件的调试环境、调试目标。</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②为本项目恒湿机三级告警、三级告警自动停机、检修模式；测控器多探头接入、热插拔、设置功能等</w:t>
      </w:r>
      <w:r>
        <w:rPr>
          <w:rFonts w:hint="eastAsia" w:ascii="宋体" w:hAnsi="宋体" w:eastAsia="宋体" w:cs="宋体"/>
          <w:sz w:val="24"/>
          <w:lang w:val="en-US" w:eastAsia="zh-CN"/>
        </w:rPr>
        <w:t xml:space="preserve">功能</w:t>
      </w:r>
      <w:r>
        <w:rPr>
          <w:rFonts w:hint="eastAsia" w:ascii="宋体" w:hAnsi="宋体" w:eastAsia="宋体" w:cs="宋体"/>
          <w:sz w:val="24"/>
        </w:rPr>
        <w:t xml:space="preserve">逐一编写调试用例，包含测试步骤和预期结果。</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（2）硬件调试：</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①列明调试所需的检测仪器清单。</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②说明硬件调试目标：44台恒湿机的调控功能（湿度30%~70%RH，精度≤±2%RH）、41台测控器的数据采集和控制功能、44个温湿度探头（精度≤±2%RH）、18个光照探头（相对示值误差≤±4%）、44个电气安全监测模块、5台网关、6台中继的运行调试。</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③说明通信可靠性测试方案，传输成功率须≥99.9%。</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（3）联调方案：说明联调流程：单机调试→区域联调→全系统联调。</w:t>
      </w:r>
      <w:r/>
    </w:p>
    <w:p>
      <w:pPr>
        <w:ind w:firstLine="480"/>
        <w:spacing w:line="500" w:lineRule="exact"/>
        <w:widowControl w:val="off"/>
        <w:rPr>
          <w:rFonts w:hint="eastAsia" w:ascii="宋体" w:hAnsi="宋体" w:eastAsia="宋体" w:cs="宋体"/>
          <w:sz w:val="24"/>
        </w:rPr>
        <w:outlineLvl w:val="2"/>
      </w:pPr>
      <w:r>
        <w:rPr>
          <w:rFonts w:hint="eastAsia" w:ascii="宋体" w:hAnsi="宋体" w:eastAsia="宋体" w:cs="宋体"/>
          <w:sz w:val="24"/>
        </w:rPr>
        <w:t xml:space="preserve">7、供货保证措施</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投标人需从质量管控、进度保障等方面进行系统规划，提供供货保证措施，至少包含以下内容：</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（1）质量保证目标：</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明确承诺所供全部产品符合国家相关行业标准及本需求文件约定的技术参数要求，提供的货物为全新正品，无翻新、窜货问题。</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（2）质量保证措施：</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①包装防护：说明恒湿机、测控器、传感器等设备的包装防护方式（防潮、防震、防碰撞），外包装须粘贴“小心轻放”“防潮”等标识。</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②到货复检：说明货物运抵现场的开箱验收流程，包括核对设备品牌、型号、规格、数量及附件，检查设备外观质量。</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③不合格产品处理：说明不合格设备的退回和更换流程。</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（3）工期进度计划：</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投标人应根据本项目的工期要求（</w:t>
      </w:r>
      <w:r>
        <w:rPr>
          <w:rFonts w:hint="eastAsia" w:ascii="宋体" w:hAnsi="宋体" w:eastAsia="宋体" w:cs="宋体"/>
          <w:sz w:val="24"/>
          <w:lang w:val="en-US" w:eastAsia="zh-CN"/>
        </w:rPr>
        <w:t xml:space="preserve">1</w:t>
      </w:r>
      <w:r>
        <w:rPr>
          <w:rFonts w:hint="eastAsia" w:ascii="宋体" w:hAnsi="宋体" w:eastAsia="宋体" w:cs="宋体"/>
          <w:sz w:val="24"/>
        </w:rPr>
        <w:t xml:space="preserve">20天），科学安排工期进度，形成总进度计划表，分项进度计划，阶段性目标等</w:t>
      </w:r>
      <w:r>
        <w:rPr>
          <w:rFonts w:hint="eastAsia" w:ascii="宋体" w:hAnsi="宋体" w:eastAsia="宋体" w:cs="宋体"/>
          <w:sz w:val="24"/>
          <w:lang w:eastAsia="zh-CN"/>
        </w:rPr>
        <w:t xml:space="preserve">。</w:t>
      </w:r>
      <w:r>
        <w:rPr>
          <w:rFonts w:hint="eastAsia" w:ascii="宋体" w:hAnsi="宋体" w:eastAsia="宋体" w:cs="宋体"/>
          <w:sz w:val="24"/>
        </w:rPr>
        <w:t xml:space="preserve"> </w:t>
      </w:r>
      <w:r/>
    </w:p>
    <w:p>
      <w:pPr>
        <w:ind w:firstLine="480"/>
        <w:spacing w:line="500" w:lineRule="exact"/>
        <w:widowControl w:val="off"/>
        <w:rPr>
          <w:rFonts w:hint="eastAsia" w:ascii="宋体" w:hAnsi="宋体" w:eastAsia="宋体" w:cs="宋体"/>
          <w:sz w:val="24"/>
        </w:rPr>
        <w:outlineLvl w:val="2"/>
      </w:pPr>
      <w:r>
        <w:rPr>
          <w:rFonts w:hint="eastAsia" w:ascii="宋体" w:hAnsi="宋体" w:eastAsia="宋体" w:cs="宋体"/>
          <w:sz w:val="24"/>
        </w:rPr>
        <w:t xml:space="preserve">8、项目培训与售后服务方案</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为确保项目交付后采购人能熟练操作维护系统，并在质保期内获得及时、专业的技术支持，投标人需提供项目培训与售后服务方案，至少包含以下内容：</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（1）售后服务响应与承诺：</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①质保期：明确整体项目免费质保期不少于五年，自最终验收合格之日起计算。质保期内，所有设备、材料、软件升级、人工服务费用全免。</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②响应时效：接到维修通知后2小时内响应（远程或电话），若远程无法解决，在12小时内到场维修。</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③修复时效：一般故障24小时内修复；复杂故障48小时内修复。若48小时内无法修复，须在48小时内提供同型号或更高性能的备用设备替换使用，直至原设备修复完毕。</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④定期巡检：在设备安装验收后至少每半年电话回访1次，了解设备使用情况并记录；每年至少上门定期维护1次，对系统软硬件进行全面巡检，重点关注设备核心部件损耗情况。</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（2）售后服务组织与流程：</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①提供售后服务组织架构图，列明服务团队人员配置及服务渠道。</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②提供标准化服务流程图，包括接报、登记、派单、处理、反馈、归档各环节，服务请求建档率100%。</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（3）培训计划：</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①培训对象：馆内文保工作人员。</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②培训内容：至少包含设备日常保养和定期保养培训、业务基础操作技术功能培训、常见故障处理培训，培训总学时不少于3学时。</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③培训方式：采用理论讲解与现场实操相结合的方式，提供使用说明书供存档学习。</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（4）系统维护服务（质保期满后2年）：</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①说明维护期内服务内容：每季度至少电话回访1次，每年至少上门巡检1次，对系统软硬件进行全面巡检。</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②说明维护期内响应方式：仍需按照质保期内售后服务的时效与方式进行响应，维护费外不再收取其他费用（因用户使用不当而发生的维护费用除外）。</w:t>
      </w:r>
      <w:r/>
    </w:p>
    <w:p>
      <w:pPr>
        <w:ind w:firstLine="480"/>
        <w:spacing w:line="500" w:lineRule="exact"/>
        <w:widowControl w:val="off"/>
        <w:rPr>
          <w:rFonts w:cs="Times New Roman"/>
          <w:sz w:val="24"/>
        </w:rPr>
        <w:outlineLvl w:val="2"/>
      </w:pPr>
      <w:r>
        <w:rPr>
          <w:rFonts w:hint="eastAsia" w:cs="Times New Roman"/>
          <w:sz w:val="24"/>
        </w:rPr>
        <w:t xml:space="preserve">9、业绩</w:t>
      </w:r>
      <w:r/>
    </w:p>
    <w:p>
      <w:pPr>
        <w:ind w:firstLine="480"/>
        <w:spacing w:line="500" w:lineRule="exact"/>
        <w:widowControl w:val="off"/>
        <w:rPr>
          <w:rFonts w:cs="Times New Roman"/>
          <w:sz w:val="24"/>
        </w:rPr>
      </w:pPr>
      <w:r>
        <w:rPr>
          <w:rFonts w:cs="Times New Roman"/>
          <w:sz w:val="24"/>
        </w:rPr>
        <w:t xml:space="preserve">为了确保项目的顺利实施，投标人需具备丰富的承接经验，自202</w:t>
      </w:r>
      <w:r>
        <w:rPr>
          <w:rFonts w:hint="eastAsia" w:cs="Times New Roman"/>
          <w:sz w:val="24"/>
        </w:rPr>
        <w:t xml:space="preserve">3</w:t>
      </w:r>
      <w:r>
        <w:rPr>
          <w:rFonts w:cs="Times New Roman"/>
          <w:sz w:val="24"/>
        </w:rPr>
        <w:t xml:space="preserve">年1月1日以来（以合同签订日期为准），承担过包含文物保护或环境监控类设备（如展柜恒湿机、展柜微环境测控器等与本项目采购清单中产品</w:t>
      </w:r>
      <w:r>
        <w:rPr>
          <w:rFonts w:hint="eastAsia" w:cs="Times New Roman"/>
          <w:sz w:val="24"/>
          <w:lang w:val="en-US" w:eastAsia="zh-CN"/>
        </w:rPr>
        <w:t xml:space="preserve">类似的</w:t>
      </w:r>
      <w:r>
        <w:rPr>
          <w:rFonts w:cs="Times New Roman"/>
          <w:sz w:val="24"/>
        </w:rPr>
        <w:t xml:space="preserve">设备）的类似项目业绩的</w:t>
      </w:r>
      <w:r>
        <w:rPr>
          <w:rFonts w:cs="Times New Roman"/>
          <w:b/>
          <w:bCs/>
          <w:sz w:val="24"/>
        </w:rPr>
        <w:t xml:space="preserve">优先</w:t>
      </w:r>
      <w:r>
        <w:rPr>
          <w:rFonts w:cs="Times New Roman"/>
          <w:sz w:val="24"/>
        </w:rPr>
        <w:t xml:space="preserve">。</w:t>
      </w:r>
      <w:r/>
    </w:p>
    <w:p>
      <w:pPr>
        <w:ind w:firstLine="480"/>
        <w:spacing w:line="500" w:lineRule="exact"/>
        <w:widowControl w:val="off"/>
        <w:rPr>
          <w:rFonts w:cs="Times New Roman"/>
          <w:sz w:val="24"/>
          <w:highlight w:val="none"/>
        </w:rPr>
        <w:outlineLvl w:val="2"/>
      </w:pPr>
      <w:r>
        <w:rPr>
          <w:rFonts w:hint="eastAsia" w:cs="Times New Roman"/>
          <w:sz w:val="24"/>
          <w:highlight w:val="none"/>
        </w:rPr>
        <w:t xml:space="preserve">10、体系认证</w:t>
      </w:r>
      <w:r/>
    </w:p>
    <w:p>
      <w:pPr>
        <w:ind w:firstLine="480"/>
        <w:spacing w:line="500" w:lineRule="exact"/>
        <w:widowControl w:val="off"/>
        <w:rPr>
          <w:rFonts w:cs="Times New Roman"/>
          <w:sz w:val="24"/>
          <w:highlight w:val="none"/>
        </w:rPr>
      </w:pPr>
      <w:r>
        <w:rPr>
          <w:rFonts w:cs="Times New Roman"/>
          <w:sz w:val="24"/>
          <w:highlight w:val="none"/>
        </w:rPr>
        <w:t xml:space="preserve">为了择优选择中标单位，体现企业实力，投标人具备有效</w:t>
      </w:r>
      <w:r>
        <w:rPr>
          <w:rFonts w:hint="eastAsia" w:cs="Times New Roman"/>
          <w:sz w:val="24"/>
          <w:highlight w:val="none"/>
        </w:rPr>
        <w:t xml:space="preserve">的质量管理体系认证证书、环境管理体系认证证书、职业健康安全管理体系认证证书</w:t>
      </w:r>
      <w:r>
        <w:rPr>
          <w:rFonts w:cs="Times New Roman"/>
          <w:sz w:val="24"/>
          <w:highlight w:val="none"/>
        </w:rPr>
        <w:t xml:space="preserve">的</w:t>
      </w:r>
      <w:r>
        <w:rPr>
          <w:rFonts w:cs="Times New Roman"/>
          <w:b/>
          <w:bCs/>
          <w:sz w:val="24"/>
          <w:highlight w:val="none"/>
        </w:rPr>
        <w:t xml:space="preserve">优先</w:t>
      </w:r>
      <w:r>
        <w:rPr>
          <w:rFonts w:cs="Times New Roman"/>
          <w:sz w:val="24"/>
          <w:highlight w:val="none"/>
        </w:rPr>
        <w:t xml:space="preserve">，有效的是指开标当日有效的证书。</w:t>
      </w:r>
      <w:r/>
    </w:p>
    <w:p>
      <w:pPr>
        <w:ind w:firstLine="480"/>
        <w:spacing w:line="500" w:lineRule="exact"/>
        <w:widowControl w:val="off"/>
        <w:rPr>
          <w:rFonts w:hint="eastAsia" w:cs="Times New Roman" w:asciiTheme="minorEastAsia" w:hAnsiTheme="minorEastAsia"/>
          <w:b/>
          <w:sz w:val="24"/>
        </w:rPr>
        <w:outlineLvl w:val="2"/>
      </w:pPr>
      <w:r>
        <w:rPr>
          <w:rFonts w:hint="eastAsia" w:cs="Times New Roman"/>
          <w:sz w:val="24"/>
        </w:rPr>
        <w:t xml:space="preserve">11、</w:t>
      </w:r>
      <w:r>
        <w:rPr>
          <w:rFonts w:hint="eastAsia" w:cs="Times New Roman" w:asciiTheme="minorEastAsia" w:hAnsiTheme="minorEastAsia"/>
          <w:b/>
          <w:sz w:val="24"/>
        </w:rPr>
        <w:t xml:space="preserve">视频演示</w:t>
      </w:r>
      <w:r/>
    </w:p>
    <w:p>
      <w:pPr>
        <w:ind w:firstLine="480"/>
        <w:spacing w:line="500" w:lineRule="exact"/>
        <w:widowControl w:val="off"/>
        <w:rPr>
          <w:rFonts w:hint="eastAsia" w:cs="Times New Roman" w:asciiTheme="minorEastAsia" w:hAnsiTheme="minorEastAsia"/>
          <w:b/>
          <w:sz w:val="24"/>
        </w:rPr>
      </w:pPr>
      <w:r>
        <w:rPr>
          <w:rFonts w:hint="eastAsia" w:cs="Times New Roman" w:asciiTheme="minorEastAsia" w:hAnsiTheme="minorEastAsia"/>
          <w:b/>
          <w:sz w:val="24"/>
        </w:rPr>
        <w:t xml:space="preserve">（1）</w:t>
      </w:r>
      <w:r>
        <w:rPr>
          <w:rFonts w:cs="Times New Roman" w:asciiTheme="minorEastAsia" w:hAnsiTheme="minorEastAsia"/>
          <w:b/>
          <w:sz w:val="24"/>
        </w:rPr>
        <w:t xml:space="preserve">投标人应根据采购需求和本项目实际，对</w:t>
      </w:r>
      <w:r>
        <w:rPr>
          <w:rFonts w:hint="eastAsia" w:cs="Times New Roman" w:asciiTheme="minorEastAsia" w:hAnsiTheme="minorEastAsia"/>
          <w:b/>
          <w:sz w:val="24"/>
        </w:rPr>
        <w:t xml:space="preserve">技术参数要求中</w:t>
      </w:r>
      <w:r>
        <w:rPr>
          <w:rFonts w:cs="Times New Roman" w:asciiTheme="minorEastAsia" w:hAnsiTheme="minorEastAsia"/>
          <w:b/>
          <w:sz w:val="24"/>
        </w:rPr>
        <w:t xml:space="preserve">加★号的参数提供相应的演示视频，</w:t>
      </w:r>
      <w:r>
        <w:rPr>
          <w:rFonts w:hint="eastAsia" w:cs="Times New Roman" w:asciiTheme="minorEastAsia" w:hAnsiTheme="minorEastAsia"/>
          <w:b/>
          <w:sz w:val="24"/>
        </w:rPr>
        <w:t xml:space="preserve">演示</w:t>
      </w:r>
      <w:r>
        <w:rPr>
          <w:rFonts w:cs="Times New Roman" w:asciiTheme="minorEastAsia" w:hAnsiTheme="minorEastAsia"/>
          <w:b/>
          <w:sz w:val="24"/>
        </w:rPr>
        <w:t xml:space="preserve">内容</w:t>
      </w:r>
      <w:r>
        <w:rPr>
          <w:rFonts w:hint="eastAsia" w:cs="Times New Roman" w:asciiTheme="minorEastAsia" w:hAnsiTheme="minorEastAsia"/>
          <w:b/>
          <w:sz w:val="24"/>
        </w:rPr>
        <w:t xml:space="preserve">如下</w:t>
      </w:r>
      <w:r>
        <w:rPr>
          <w:rFonts w:cs="Times New Roman" w:asciiTheme="minorEastAsia" w:hAnsiTheme="minorEastAsia"/>
          <w:b/>
          <w:sz w:val="24"/>
        </w:rPr>
        <w:t xml:space="preserve">：</w:t>
      </w:r>
      <w:r/>
    </w:p>
    <w:p>
      <w:pPr>
        <w:ind w:firstLine="480"/>
        <w:spacing w:line="500" w:lineRule="exact"/>
        <w:widowControl w:val="off"/>
        <w:rPr>
          <w:rFonts w:cs="Times New Roman"/>
          <w:b/>
          <w:bCs/>
          <w:sz w:val="24"/>
        </w:rPr>
      </w:pPr>
      <w:r>
        <w:rPr>
          <w:rFonts w:hint="eastAsia" w:cs="Times New Roman" w:asciiTheme="minorEastAsia" w:hAnsiTheme="minorEastAsia"/>
          <w:b/>
          <w:sz w:val="24"/>
        </w:rPr>
        <w:t xml:space="preserve">①</w:t>
      </w:r>
      <w:r>
        <w:rPr>
          <w:rFonts w:hint="eastAsia" w:cs="Times New Roman"/>
          <w:b/>
          <w:bCs/>
          <w:sz w:val="24"/>
        </w:rPr>
        <w:t xml:space="preserve">展柜恒湿机（小型）</w:t>
      </w:r>
      <w:r/>
    </w:p>
    <w:p>
      <w:pPr>
        <w:ind w:firstLine="480"/>
        <w:spacing w:line="500" w:lineRule="exact"/>
        <w:widowControl w:val="off"/>
        <w:rPr>
          <w:rFonts w:ascii="Times New Roman" w:hAnsi="Times New Roman" w:eastAsia="宋体" w:cs="Times New Roman"/>
          <w:color w:val="000000"/>
          <w:sz w:val="24"/>
        </w:rPr>
      </w:pPr>
      <w:r>
        <w:rPr>
          <w:rFonts w:hint="eastAsia" w:cs="Times New Roman"/>
          <w:sz w:val="24"/>
        </w:rPr>
        <w:t xml:space="preserve">A.</w:t>
      </w:r>
      <w:r>
        <w:rPr>
          <w:rFonts w:hint="eastAsia" w:ascii="Times New Roman" w:hAnsi="Times New Roman" w:eastAsia="宋体" w:cs="Times New Roman"/>
          <w:color w:val="000000"/>
          <w:sz w:val="24"/>
        </w:rPr>
        <w:t xml:space="preserve">一二三级告警功能</w:t>
      </w:r>
      <w:r/>
    </w:p>
    <w:p>
      <w:pPr>
        <w:ind w:firstLine="480"/>
        <w:spacing w:line="500" w:lineRule="exact"/>
        <w:widowControl w:val="off"/>
        <w:rPr>
          <w:rFonts w:cs="Times New Roman"/>
          <w:sz w:val="24"/>
        </w:rPr>
      </w:pPr>
      <w:r>
        <w:rPr>
          <w:rFonts w:hint="eastAsia" w:cs="Times New Roman"/>
          <w:sz w:val="24"/>
        </w:rPr>
        <w:t xml:space="preserve">设备的温湿度传感器探头监测湿度超过当前设定的湿度告警阈值，设备屏幕显示一级告警；设备已接入的光照传感器探头与设备断开连接后，设备屏幕显示二级告警；设备已接入的温湿度传感器探头与设备断开连接后，设备屏幕显示三级告警。</w:t>
      </w:r>
      <w:r/>
    </w:p>
    <w:p>
      <w:pPr>
        <w:ind w:firstLine="480"/>
        <w:spacing w:line="500" w:lineRule="exact"/>
        <w:widowControl w:val="off"/>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B.三级告警时自动停机功能</w:t>
      </w:r>
      <w:r/>
    </w:p>
    <w:p>
      <w:pPr>
        <w:ind w:firstLine="480"/>
        <w:spacing w:line="500" w:lineRule="exact"/>
        <w:widowControl w:val="off"/>
        <w:rPr>
          <w:rFonts w:cs="Times New Roman"/>
          <w:sz w:val="24"/>
        </w:rPr>
      </w:pPr>
      <w:r>
        <w:rPr>
          <w:rFonts w:hint="eastAsia" w:cs="Times New Roman"/>
          <w:sz w:val="24"/>
        </w:rPr>
        <w:t xml:space="preserve">设备运行中，触发三级告警，设备屏幕显示停机。</w:t>
      </w:r>
      <w:r/>
    </w:p>
    <w:p>
      <w:pPr>
        <w:ind w:firstLine="480"/>
        <w:spacing w:line="500" w:lineRule="exact"/>
        <w:widowControl w:val="off"/>
        <w:rPr>
          <w:rFonts w:ascii="Times New Roman" w:hAnsi="Times New Roman" w:eastAsia="宋体" w:cs="Times New Roman"/>
          <w:color w:val="000000"/>
          <w:sz w:val="24"/>
        </w:rPr>
      </w:pPr>
      <w:r>
        <w:rPr>
          <w:rFonts w:hint="eastAsia" w:eastAsia="宋体" w:cs="Times New Roman"/>
          <w:sz w:val="24"/>
        </w:rPr>
        <w:t xml:space="preserve">C.</w:t>
      </w:r>
      <w:r>
        <w:rPr>
          <w:rFonts w:hint="eastAsia" w:ascii="Times New Roman" w:hAnsi="Times New Roman" w:eastAsia="宋体" w:cs="Times New Roman"/>
          <w:color w:val="000000"/>
          <w:sz w:val="24"/>
        </w:rPr>
        <w:t xml:space="preserve">检修模式</w:t>
      </w:r>
      <w:r/>
    </w:p>
    <w:p>
      <w:pPr>
        <w:ind w:firstLine="480"/>
        <w:spacing w:line="500" w:lineRule="exact"/>
        <w:widowControl w:val="off"/>
        <w:rPr>
          <w:rFonts w:cs="Times New Roman"/>
          <w:sz w:val="24"/>
        </w:rPr>
      </w:pPr>
      <w:r>
        <w:rPr>
          <w:rFonts w:hint="eastAsia" w:cs="Times New Roman"/>
          <w:sz w:val="24"/>
        </w:rPr>
        <w:t xml:space="preserve">操作设备本地触摸屏，进入检修模式，检修模式下，设备屏幕展示各部件的工作状态。</w:t>
      </w:r>
      <w:r/>
    </w:p>
    <w:p>
      <w:pPr>
        <w:ind w:firstLine="480"/>
        <w:spacing w:line="500" w:lineRule="exact"/>
        <w:widowControl w:val="off"/>
        <w:rPr>
          <w:rFonts w:cs="Times New Roman"/>
          <w:b/>
          <w:bCs/>
          <w:sz w:val="24"/>
        </w:rPr>
      </w:pPr>
      <w:r>
        <w:rPr>
          <w:rFonts w:hint="eastAsia" w:eastAsia="宋体" w:cs="Times New Roman"/>
          <w:sz w:val="24"/>
        </w:rPr>
        <w:t xml:space="preserve">②</w:t>
      </w:r>
      <w:r>
        <w:rPr>
          <w:rFonts w:hint="eastAsia" w:cs="Times New Roman"/>
          <w:b/>
          <w:bCs/>
          <w:sz w:val="24"/>
        </w:rPr>
        <w:t xml:space="preserve">展柜微环境测控器</w:t>
      </w:r>
      <w:r/>
    </w:p>
    <w:p>
      <w:pPr>
        <w:ind w:firstLine="480"/>
        <w:spacing w:line="500" w:lineRule="exact"/>
        <w:widowControl w:val="off"/>
        <w:rPr>
          <w:rFonts w:ascii="Times New Roman" w:hAnsi="Times New Roman" w:eastAsia="宋体" w:cs="Times New Roman"/>
          <w:color w:val="000000"/>
          <w:sz w:val="24"/>
        </w:rPr>
      </w:pPr>
      <w:r>
        <w:rPr>
          <w:rFonts w:hint="eastAsia" w:cs="Times New Roman"/>
          <w:sz w:val="24"/>
        </w:rPr>
        <w:t xml:space="preserve">A.</w:t>
      </w:r>
      <w:r>
        <w:rPr>
          <w:rFonts w:hint="eastAsia" w:ascii="Times New Roman" w:hAnsi="Times New Roman" w:eastAsia="宋体" w:cs="Times New Roman"/>
          <w:color w:val="000000"/>
          <w:sz w:val="24"/>
        </w:rPr>
        <w:t xml:space="preserve">同时接入不同类型传感器探头</w:t>
      </w:r>
      <w:r/>
    </w:p>
    <w:p>
      <w:pPr>
        <w:ind w:firstLine="480"/>
        <w:spacing w:line="500" w:lineRule="exact"/>
        <w:widowControl w:val="off"/>
        <w:rPr>
          <w:rFonts w:cs="Times New Roman"/>
          <w:sz w:val="24"/>
        </w:rPr>
      </w:pPr>
      <w:r>
        <w:rPr>
          <w:rFonts w:hint="eastAsia" w:ascii="Times New Roman" w:hAnsi="Times New Roman" w:eastAsia="宋体" w:cs="Times New Roman"/>
          <w:color w:val="000000"/>
          <w:sz w:val="24"/>
        </w:rPr>
        <w:t xml:space="preserve">展柜微环境测控器能够同时接入温湿度传感器探头、光照传感器探头，设备屏幕上能够显示两种传感器探头的类型、实时环境监测数据。</w:t>
      </w:r>
      <w:r/>
    </w:p>
    <w:p>
      <w:pPr>
        <w:ind w:firstLine="480"/>
        <w:spacing w:line="500" w:lineRule="exact"/>
        <w:widowControl w:val="off"/>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B.同时接入多个温湿度传感器探头</w:t>
      </w:r>
      <w:r/>
    </w:p>
    <w:p>
      <w:pPr>
        <w:ind w:firstLine="480"/>
        <w:spacing w:line="500" w:lineRule="exact"/>
        <w:widowControl w:val="off"/>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展柜微环境测控器同时接入12个温湿度传感器探头，设备屏幕上能够显示传感器的类型、每个传感器实时环境监测数据、所有探头平均温湿度数据。</w:t>
      </w:r>
      <w:r/>
    </w:p>
    <w:p>
      <w:pPr>
        <w:ind w:firstLine="480"/>
        <w:spacing w:line="500" w:lineRule="exact"/>
        <w:widowControl w:val="off"/>
        <w:rPr>
          <w:rFonts w:ascii="Times New Roman" w:hAnsi="Times New Roman" w:eastAsia="宋体" w:cs="Times New Roman"/>
          <w:color w:val="000000"/>
          <w:sz w:val="24"/>
        </w:rPr>
      </w:pPr>
      <w:r>
        <w:rPr>
          <w:rFonts w:hint="eastAsia" w:eastAsia="宋体" w:cs="Times New Roman"/>
          <w:sz w:val="24"/>
        </w:rPr>
        <w:t xml:space="preserve">C.</w:t>
      </w:r>
      <w:r>
        <w:rPr>
          <w:rFonts w:hint="eastAsia" w:ascii="Times New Roman" w:hAnsi="Times New Roman" w:eastAsia="宋体" w:cs="Times New Roman"/>
          <w:color w:val="000000"/>
          <w:sz w:val="24"/>
        </w:rPr>
        <w:t xml:space="preserve">传感器探头热插拔功能</w:t>
      </w:r>
      <w:r/>
    </w:p>
    <w:p>
      <w:pPr>
        <w:ind w:firstLine="480"/>
        <w:spacing w:line="500" w:lineRule="exact"/>
        <w:widowControl w:val="off"/>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展柜微环境测控器在开机状态下，将带有的一个传感器探头从设备接口拔掉，屏幕上可显示传感器故障；再将传感器探头接入设备，设备屏幕上可显示接入传感器的ID、类型、实时环境监测数据。</w:t>
      </w:r>
      <w:r/>
    </w:p>
    <w:p>
      <w:pPr>
        <w:ind w:firstLine="480"/>
        <w:spacing w:line="500" w:lineRule="exact"/>
        <w:widowControl w:val="off"/>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D.设备的设置功能</w:t>
      </w:r>
      <w:r/>
    </w:p>
    <w:p>
      <w:pPr>
        <w:ind w:firstLine="480"/>
        <w:spacing w:line="500" w:lineRule="exact"/>
        <w:widowControl w:val="off"/>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通过对展柜微环境测控器触摸屏的点击、输入操作，可对设备的通信方式、IP地址及传感器校准功能进行设置。</w:t>
      </w:r>
      <w:r/>
    </w:p>
    <w:p>
      <w:pPr>
        <w:ind w:firstLine="480"/>
        <w:spacing w:line="500" w:lineRule="exact"/>
        <w:widowControl w:val="off"/>
        <w:rPr>
          <w:rFonts w:ascii="Times New Roman" w:hAnsi="Times New Roman" w:eastAsia="宋体" w:cs="Times New Roman"/>
          <w:b/>
          <w:bCs/>
          <w:color w:val="000000"/>
          <w:sz w:val="24"/>
        </w:rPr>
      </w:pPr>
      <w:r>
        <w:rPr>
          <w:rFonts w:hint="eastAsia" w:ascii="Times New Roman" w:hAnsi="Times New Roman" w:eastAsia="宋体" w:cs="Times New Roman"/>
          <w:b/>
          <w:bCs/>
          <w:color w:val="000000"/>
          <w:sz w:val="24"/>
        </w:rPr>
        <w:t xml:space="preserve">（2）演示要求：演示方式 视频演示</w:t>
      </w:r>
      <w:r/>
    </w:p>
    <w:p>
      <w:pPr>
        <w:ind w:firstLine="480"/>
        <w:spacing w:line="500" w:lineRule="exact"/>
        <w:widowControl w:val="off"/>
        <w:rPr>
          <w:rFonts w:ascii="Times New Roman" w:hAnsi="Times New Roman" w:eastAsia="宋体" w:cs="Times New Roman"/>
          <w:b/>
          <w:bCs/>
          <w:color w:val="000000"/>
          <w:sz w:val="24"/>
        </w:rPr>
      </w:pPr>
      <w:r>
        <w:rPr>
          <w:rFonts w:hint="eastAsia" w:ascii="Times New Roman" w:hAnsi="Times New Roman" w:eastAsia="宋体" w:cs="Times New Roman"/>
          <w:b/>
          <w:bCs/>
          <w:color w:val="000000"/>
          <w:sz w:val="24"/>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10分钟。</w:t>
      </w:r>
      <w:r/>
    </w:p>
    <w:p>
      <w:pPr>
        <w:pStyle w:val="649"/>
        <w:ind w:firstLine="0"/>
        <w:spacing w:before="0" w:beforeAutospacing="0" w:line="500" w:lineRule="exact"/>
        <w:widowControl w:val="off"/>
        <w:rPr>
          <w:rFonts w:ascii="Times New Roman" w:hAnsi="Times New Roman" w:eastAsia="宋体"/>
          <w:b/>
          <w:i w:val="0"/>
          <w:iCs/>
          <w:color w:val="000000"/>
          <w:sz w:val="24"/>
          <w:szCs w:val="24"/>
          <w:u w:val="none"/>
        </w:rPr>
      </w:pPr>
      <w:r>
        <w:rPr>
          <w:rFonts w:hint="eastAsia" w:ascii="Times New Roman" w:hAnsi="Times New Roman" w:eastAsia="宋体"/>
          <w:b/>
          <w:i w:val="0"/>
          <w:iCs/>
          <w:color w:val="000000"/>
          <w:sz w:val="24"/>
          <w:szCs w:val="24"/>
          <w:u w:val="none"/>
        </w:rPr>
        <w:t xml:space="preserve">七、采购标的对应的中小企业划分标准所属行业一览表</w:t>
      </w:r>
      <w:r/>
    </w:p>
    <w:tbl>
      <w:tblPr>
        <w:tblStyle w:val="658"/>
        <w:tblW w:w="8928"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7"/>
        <w:gridCol w:w="2693"/>
        <w:gridCol w:w="5078"/>
      </w:tblGrid>
      <w:tr>
        <w:trPr>
          <w:jc w:val="center"/>
          <w:tblCellSpacing w:w="0" w:type="dxa"/>
          <w:trHeight w:val="825"/>
        </w:trPr>
        <w:tc>
          <w:tcPr>
            <w:tcW w:w="1157" w:type="dxa"/>
            <w:vAlign w:val="center"/>
            <w:textDirection w:val="lrTb"/>
            <w:noWrap/>
          </w:tcPr>
          <w:p>
            <w:pPr>
              <w:ind w:firstLine="0"/>
              <w:jc w:val="center"/>
              <w:spacing w:line="420" w:lineRule="exact"/>
              <w:rPr>
                <w:sz w:val="24"/>
              </w:rPr>
            </w:pPr>
            <w:r>
              <w:rPr>
                <w:rFonts w:hint="eastAsia"/>
                <w:sz w:val="24"/>
              </w:rPr>
              <w:t xml:space="preserve">序号</w:t>
            </w:r>
            <w:r/>
          </w:p>
        </w:tc>
        <w:tc>
          <w:tcPr>
            <w:tcW w:w="2693" w:type="dxa"/>
            <w:vAlign w:val="center"/>
            <w:textDirection w:val="lrTb"/>
            <w:noWrap/>
          </w:tcPr>
          <w:p>
            <w:pPr>
              <w:ind w:firstLine="0"/>
              <w:jc w:val="center"/>
              <w:spacing w:line="420" w:lineRule="exact"/>
              <w:rPr>
                <w:sz w:val="24"/>
              </w:rPr>
            </w:pPr>
            <w:r>
              <w:rPr>
                <w:rFonts w:hint="eastAsia"/>
                <w:sz w:val="24"/>
              </w:rPr>
              <w:t xml:space="preserve">采购标的</w:t>
            </w:r>
            <w:r/>
          </w:p>
        </w:tc>
        <w:tc>
          <w:tcPr>
            <w:tcW w:w="5078" w:type="dxa"/>
            <w:vAlign w:val="center"/>
            <w:textDirection w:val="lrTb"/>
            <w:noWrap/>
          </w:tcPr>
          <w:p>
            <w:pPr>
              <w:ind w:firstLine="0"/>
              <w:jc w:val="center"/>
              <w:spacing w:line="420" w:lineRule="exact"/>
              <w:rPr>
                <w:sz w:val="24"/>
              </w:rPr>
            </w:pPr>
            <w:r>
              <w:rPr>
                <w:rFonts w:hint="eastAsia"/>
                <w:sz w:val="24"/>
              </w:rPr>
              <w:t xml:space="preserve">对应中小企业划分标准所属行业</w:t>
            </w:r>
            <w:r/>
          </w:p>
        </w:tc>
      </w:tr>
      <w:tr>
        <w:trPr>
          <w:jc w:val="center"/>
          <w:tblCellSpacing w:w="0" w:type="dxa"/>
          <w:trHeight w:val="983"/>
        </w:trPr>
        <w:tc>
          <w:tcPr>
            <w:tcW w:w="1157" w:type="dxa"/>
            <w:vAlign w:val="center"/>
            <w:textDirection w:val="lrTb"/>
            <w:noWrap/>
          </w:tcPr>
          <w:p>
            <w:pPr>
              <w:ind w:firstLine="480"/>
              <w:spacing w:line="500" w:lineRule="exact"/>
              <w:widowControl w:val="off"/>
              <w:rPr>
                <w:rFonts w:cs="Times New Roman"/>
                <w:sz w:val="24"/>
              </w:rPr>
            </w:pPr>
            <w:r>
              <w:rPr>
                <w:rFonts w:hint="eastAsia" w:cs="Times New Roman"/>
                <w:sz w:val="24"/>
              </w:rPr>
              <w:t xml:space="preserve">1</w:t>
            </w:r>
            <w:r/>
          </w:p>
        </w:tc>
        <w:tc>
          <w:tcPr>
            <w:tcW w:w="2693" w:type="dxa"/>
            <w:vAlign w:val="center"/>
            <w:textDirection w:val="lrTb"/>
            <w:noWrap/>
          </w:tcPr>
          <w:p>
            <w:pPr>
              <w:ind w:firstLine="0"/>
              <w:jc w:val="center"/>
              <w:spacing w:line="500" w:lineRule="exact"/>
              <w:widowControl w:val="off"/>
              <w:rPr>
                <w:rFonts w:cs="Times New Roman"/>
                <w:sz w:val="24"/>
              </w:rPr>
            </w:pPr>
            <w:r>
              <w:rPr>
                <w:rFonts w:hint="eastAsia" w:cs="Times New Roman"/>
                <w:sz w:val="24"/>
              </w:rPr>
              <w:t xml:space="preserve">新四军纪念馆馆藏文物预防性保护项目</w:t>
            </w:r>
            <w:r/>
          </w:p>
        </w:tc>
        <w:tc>
          <w:tcPr>
            <w:tcW w:w="5078" w:type="dxa"/>
            <w:vAlign w:val="center"/>
            <w:textDirection w:val="lrTb"/>
            <w:noWrap/>
          </w:tcPr>
          <w:p>
            <w:pPr>
              <w:ind w:firstLine="0"/>
              <w:jc w:val="center"/>
              <w:spacing w:line="500" w:lineRule="exact"/>
              <w:widowControl w:val="off"/>
              <w:rPr>
                <w:rFonts w:cs="Times New Roman"/>
                <w:sz w:val="24"/>
              </w:rPr>
            </w:pPr>
            <w:r>
              <w:rPr>
                <w:rFonts w:hint="eastAsia" w:cs="Times New Roman"/>
                <w:sz w:val="24"/>
              </w:rPr>
              <w:t xml:space="preserve">工业</w:t>
            </w:r>
            <w:r/>
          </w:p>
        </w:tc>
      </w:tr>
    </w:tbl>
    <w:p>
      <w:pPr>
        <w:rPr>
          <w:rFonts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rPr>
        <w:br w:type="page" w:clear="all"/>
      </w:r>
      <w:r/>
    </w:p>
    <w:p>
      <w:pPr>
        <w:ind w:firstLine="0"/>
        <w:jc w:val="center"/>
        <w:outlineLvl w:val="0"/>
      </w:pPr>
      <w:r>
        <w:rPr>
          <w:rFonts w:hint="eastAsia" w:ascii="方正小标宋_GBK" w:hAnsi="方正小标宋_GBK" w:eastAsia="方正小标宋_GBK" w:cs="方正小标宋_GBK"/>
          <w:color w:val="000000"/>
          <w:sz w:val="44"/>
          <w:szCs w:val="44"/>
        </w:rPr>
        <w:t xml:space="preserve">第五章  评标方法与评标标准</w:t>
      </w:r>
      <w:r/>
    </w:p>
    <w:p>
      <w:pPr>
        <w:spacing w:line="500" w:lineRule="exact"/>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一、定标原则</w:t>
      </w:r>
      <w:r/>
    </w:p>
    <w:p>
      <w:pPr>
        <w:jc w:val="left"/>
        <w:spacing w:line="500" w:lineRule="exact"/>
        <w:rPr>
          <w:rFonts w:ascii="宋体" w:hAnsi="宋体" w:eastAsia="Arial" w:cs="宋体"/>
          <w:sz w:val="24"/>
          <w:szCs w:val="20"/>
        </w:rPr>
      </w:pPr>
      <w:r>
        <w:rPr>
          <w:rFonts w:hint="eastAsia" w:ascii="宋体" w:hAnsi="宋体" w:eastAsia="Arial" w:cs="宋体"/>
          <w:sz w:val="24"/>
          <w:szCs w:val="20"/>
        </w:rPr>
        <w:t xml:space="preserve">本项目采用</w:t>
      </w:r>
      <w:r>
        <w:rPr>
          <w:rFonts w:hint="eastAsia" w:ascii="宋体" w:hAnsi="宋体" w:eastAsia="Arial" w:cs="宋体"/>
          <w:sz w:val="24"/>
          <w:szCs w:val="20"/>
          <w:u w:val="single"/>
        </w:rPr>
        <w:t xml:space="preserve"> 综合评分 </w:t>
      </w:r>
      <w:r>
        <w:rPr>
          <w:rFonts w:hint="eastAsia" w:ascii="宋体" w:hAnsi="宋体" w:eastAsia="Arial" w:cs="宋体"/>
          <w:sz w:val="24"/>
          <w:szCs w:val="20"/>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jc w:val="left"/>
        <w:spacing w:line="500" w:lineRule="exact"/>
        <w:rPr>
          <w:rFonts w:ascii="宋体" w:hAnsi="宋体" w:eastAsia="Arial" w:cs="宋体"/>
          <w:b/>
          <w:bCs/>
          <w:sz w:val="24"/>
          <w:szCs w:val="20"/>
        </w:rPr>
        <w:outlineLvl w:val="2"/>
      </w:pPr>
      <w:r>
        <w:rPr>
          <w:rFonts w:hint="eastAsia" w:ascii="宋体" w:hAnsi="宋体" w:eastAsia="Arial" w:cs="宋体"/>
          <w:b/>
          <w:bCs/>
          <w:sz w:val="24"/>
          <w:szCs w:val="20"/>
        </w:rPr>
        <w:t xml:space="preserve">政府采购政策功能落实</w:t>
      </w:r>
      <w:r/>
    </w:p>
    <w:p>
      <w:pPr>
        <w:pStyle w:val="682"/>
        <w:ind w:firstLine="48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b/>
          <w:bCs/>
          <w:szCs w:val="20"/>
        </w:rPr>
        <w:t xml:space="preserve">1、</w:t>
      </w:r>
      <w:r>
        <w:rPr>
          <w:rFonts w:hint="eastAsia" w:ascii="宋体" w:hAnsi="宋体" w:eastAsia="Arial" w:cs="宋体"/>
          <w:b/>
          <w:bCs/>
          <w:szCs w:val="20"/>
        </w:rPr>
        <w:t xml:space="preserve">小微型企业价格扣除</w:t>
      </w:r>
      <w:r/>
    </w:p>
    <w:p>
      <w:pPr>
        <w:pStyle w:val="682"/>
        <w:ind w:firstLine="48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（1）本项目专门面向中小企业采购，不再对小型和微型企业报价给予价格扣除。</w:t>
      </w:r>
      <w:r/>
    </w:p>
    <w:p>
      <w:pPr>
        <w:pStyle w:val="682"/>
        <w:ind w:firstLine="48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（2）供应商需按照采购文件的要求提供相应的《中小企业声明函》。</w:t>
      </w:r>
      <w:r/>
    </w:p>
    <w:p>
      <w:pPr>
        <w:pStyle w:val="682"/>
        <w:ind w:firstLine="48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682"/>
        <w:ind w:firstLine="480"/>
        <w:spacing w:beforeAutospacing="0" w:afterAutospacing="0" w:line="500" w:lineRule="exact"/>
        <w:widowControl w:val="off"/>
        <w:rPr>
          <w:rFonts w:hint="eastAsia" w:ascii="宋体" w:hAnsi="宋体" w:eastAsia="宋体" w:cs="宋体"/>
        </w:rPr>
      </w:pPr>
      <w:r>
        <w:rPr>
          <w:rFonts w:hint="eastAsia" w:ascii="宋体" w:hAnsi="宋体" w:eastAsia="Arial" w:cs="宋体"/>
          <w:b/>
          <w:bCs/>
          <w:szCs w:val="20"/>
        </w:rPr>
        <w:t xml:space="preserve">2、残疾人福利单位价格扣除</w:t>
      </w:r>
      <w:r/>
    </w:p>
    <w:p>
      <w:pPr>
        <w:pStyle w:val="682"/>
        <w:ind w:firstLine="48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（1）本项目对残疾人福利性单位视同小型、微型企业。</w:t>
      </w:r>
      <w:r/>
    </w:p>
    <w:p>
      <w:pPr>
        <w:pStyle w:val="682"/>
        <w:ind w:firstLine="48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（2）残疾人福利单位需按照采购文件的要求提供《残疾人福利性单位声明函》。</w:t>
      </w:r>
      <w:r/>
    </w:p>
    <w:p>
      <w:pPr>
        <w:pStyle w:val="682"/>
        <w:ind w:firstLine="48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682"/>
        <w:ind w:firstLine="480"/>
        <w:spacing w:beforeAutospacing="0" w:afterAutospacing="0" w:line="500" w:lineRule="exact"/>
        <w:widowControl w:val="off"/>
        <w:rPr>
          <w:rFonts w:ascii="宋体" w:hAnsi="宋体" w:eastAsia="Arial" w:cs="宋体"/>
          <w:b/>
          <w:bCs/>
          <w:szCs w:val="20"/>
        </w:rPr>
      </w:pPr>
      <w:r>
        <w:rPr>
          <w:rFonts w:hint="eastAsia" w:ascii="宋体" w:hAnsi="宋体" w:eastAsia="Arial" w:cs="宋体"/>
          <w:b/>
          <w:bCs/>
          <w:szCs w:val="20"/>
        </w:rPr>
        <w:t xml:space="preserve">3、监狱和戒毒企业价格扣除</w:t>
      </w:r>
      <w:r/>
    </w:p>
    <w:p>
      <w:pPr>
        <w:jc w:val="left"/>
        <w:spacing w:line="500" w:lineRule="exact"/>
        <w:rPr>
          <w:rFonts w:ascii="宋体" w:hAnsi="宋体" w:eastAsia="Arial" w:cs="宋体"/>
          <w:sz w:val="24"/>
          <w:szCs w:val="20"/>
        </w:rPr>
      </w:pPr>
      <w:r>
        <w:rPr>
          <w:rFonts w:hint="eastAsia" w:ascii="宋体" w:hAnsi="宋体" w:eastAsia="Arial" w:cs="宋体"/>
          <w:sz w:val="24"/>
          <w:szCs w:val="20"/>
        </w:rPr>
        <w:t xml:space="preserve">（1）本项目对监狱和戒毒企业（简称监狱企业）视同小型、微型企业。</w:t>
      </w:r>
      <w:r/>
    </w:p>
    <w:p>
      <w:pPr>
        <w:jc w:val="left"/>
        <w:spacing w:line="500" w:lineRule="exact"/>
        <w:rPr>
          <w:rFonts w:ascii="宋体" w:hAnsi="宋体" w:eastAsia="Arial" w:cs="宋体"/>
          <w:sz w:val="24"/>
          <w:szCs w:val="20"/>
        </w:rPr>
      </w:pPr>
      <w:r>
        <w:rPr>
          <w:rFonts w:hint="eastAsia" w:ascii="宋体" w:hAnsi="宋体" w:eastAsia="Arial" w:cs="宋体"/>
          <w:sz w:val="24"/>
          <w:szCs w:val="20"/>
        </w:rPr>
        <w:t xml:space="preserve">（2）监狱企业参加政府采购活动时，需提供由省级以上监狱管理局、戒毒管理局(含新疆生产建设兵团)出具的属于监狱企业的证明文件。供应商如不提供上述证明文件，价格将不做相应扣除。</w:t>
      </w:r>
      <w:r/>
    </w:p>
    <w:p>
      <w:pPr>
        <w:jc w:val="left"/>
        <w:spacing w:line="500" w:lineRule="exact"/>
        <w:rPr>
          <w:rFonts w:ascii="宋体" w:hAnsi="宋体" w:eastAsia="Arial" w:cs="宋体"/>
          <w:sz w:val="24"/>
          <w:szCs w:val="20"/>
        </w:rPr>
      </w:pPr>
      <w:r>
        <w:rPr>
          <w:rFonts w:hint="eastAsia" w:ascii="宋体" w:hAnsi="宋体" w:eastAsia="Arial" w:cs="宋体"/>
          <w:sz w:val="24"/>
          <w:szCs w:val="20"/>
        </w:rPr>
        <w:t xml:space="preserve">（3）监狱企业标准请参照《关于政府采购支持监狱企业发展有关问题的通知》（财库〔2014〕68号）。</w:t>
      </w:r>
      <w:r/>
    </w:p>
    <w:p>
      <w:pPr>
        <w:pStyle w:val="682"/>
        <w:ind w:firstLine="480"/>
        <w:spacing w:beforeAutospacing="0" w:afterAutospacing="0" w:line="500" w:lineRule="exact"/>
        <w:widowControl w:val="off"/>
        <w:rPr>
          <w:rFonts w:hint="eastAsia" w:ascii="宋体" w:hAnsi="宋体" w:eastAsia="宋体" w:cs="宋体"/>
          <w:color w:val="000000"/>
        </w:rPr>
      </w:pPr>
      <w:r>
        <w:rPr>
          <w:rFonts w:hint="eastAsia" w:ascii="宋体" w:hAnsi="宋体" w:eastAsia="Arial" w:cs="宋体"/>
          <w:szCs w:val="20"/>
        </w:rPr>
        <w:t xml:space="preserve">4、残疾人福利单位、监狱企业属于小型、微型企业的，不重复享受政策。</w:t>
      </w:r>
      <w:r/>
    </w:p>
    <w:p>
      <w:pPr>
        <w:jc w:val="left"/>
        <w:spacing w:line="500" w:lineRule="exact"/>
        <w:rPr>
          <w:rFonts w:hint="eastAsia"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5、采购本国产品的支持政策</w:t>
      </w:r>
      <w:r/>
    </w:p>
    <w:p>
      <w:pPr>
        <w:jc w:val="left"/>
        <w:spacing w:line="500" w:lineRule="exact"/>
        <w:rPr>
          <w:rFonts w:hint="eastAsia"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5.1 本项目政府采购活动中既有本国产品又有非本国产品参与竞争的，依法对本国产品给予价格评审优惠，对本国产品的报价给予 </w:t>
      </w:r>
      <w:r>
        <w:rPr>
          <w:rFonts w:hint="eastAsia" w:asciiTheme="minorEastAsia" w:hAnsiTheme="minorEastAsia" w:cstheme="minorEastAsia"/>
          <w:b/>
          <w:bCs/>
          <w:color w:val="ff0000"/>
          <w:sz w:val="24"/>
          <w:u w:val="single"/>
        </w:rPr>
        <w:t xml:space="preserve">20%</w:t>
      </w:r>
      <w:r>
        <w:rPr>
          <w:rFonts w:hint="eastAsia" w:asciiTheme="minorEastAsia" w:hAnsiTheme="minorEastAsia" w:cstheme="minorEastAsia"/>
          <w:b/>
          <w:bCs/>
          <w:color w:val="ff0000"/>
          <w:sz w:val="24"/>
        </w:rPr>
        <w:t xml:space="preserve">的价格扣除，用扣除后的价格参与评审。</w:t>
      </w:r>
      <w:r/>
    </w:p>
    <w:p>
      <w:pPr>
        <w:jc w:val="left"/>
        <w:spacing w:line="500" w:lineRule="exact"/>
        <w:rPr>
          <w:rFonts w:hint="eastAsia"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5.2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cstheme="minorEastAsia"/>
          <w:b/>
          <w:bCs/>
          <w:color w:val="ff0000"/>
          <w:sz w:val="24"/>
          <w:u w:val="single"/>
        </w:rPr>
        <w:t xml:space="preserve">80%</w:t>
      </w:r>
      <w:r>
        <w:rPr>
          <w:rFonts w:hint="eastAsia" w:asciiTheme="minorEastAsia" w:hAnsiTheme="minorEastAsia" w:cstheme="minorEastAsia"/>
          <w:b/>
          <w:bCs/>
          <w:color w:val="ff0000"/>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cstheme="minorEastAsia"/>
          <w:b/>
          <w:bCs/>
          <w:color w:val="ff0000"/>
          <w:sz w:val="24"/>
          <w:u w:val="single"/>
        </w:rPr>
        <w:t xml:space="preserve">20%</w:t>
      </w:r>
      <w:r>
        <w:rPr>
          <w:rFonts w:hint="eastAsia" w:asciiTheme="minorEastAsia" w:hAnsiTheme="minorEastAsia" w:cstheme="minorEastAsia"/>
          <w:b/>
          <w:bCs/>
          <w:color w:val="ff0000"/>
          <w:sz w:val="24"/>
        </w:rPr>
        <w:t xml:space="preserve">的价格扣除，用扣除后的价格参与评审。供应商未填写比例数值，或比例数值</w:t>
      </w:r>
      <w:r>
        <w:rPr>
          <w:rFonts w:hint="eastAsia" w:asciiTheme="minorEastAsia" w:hAnsiTheme="minorEastAsia" w:cstheme="minorEastAsia"/>
          <w:b/>
          <w:bCs/>
          <w:color w:val="ff0000"/>
          <w:sz w:val="24"/>
          <w:highlight w:val="yellow"/>
        </w:rPr>
        <w:t xml:space="preserve">未达到</w:t>
      </w:r>
      <w:r>
        <w:rPr>
          <w:rFonts w:hint="eastAsia" w:asciiTheme="minorEastAsia" w:hAnsiTheme="minorEastAsia" w:cstheme="minorEastAsia"/>
          <w:b/>
          <w:bCs/>
          <w:color w:val="ff0000"/>
          <w:sz w:val="24"/>
        </w:rPr>
        <w:t xml:space="preserve">80%的，将不享受本国产品价格评审优惠。</w:t>
      </w:r>
      <w:r/>
    </w:p>
    <w:p>
      <w:pPr>
        <w:jc w:val="left"/>
        <w:spacing w:line="500" w:lineRule="exact"/>
        <w:rPr>
          <w:rFonts w:hint="eastAsia"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5.3 供应商需按照招标文件的要求提供《关于符合本国产品标准的声明函》（以下简称《声明函》），如不提供将不享受本国产品价格评审优惠。</w:t>
      </w:r>
      <w:r/>
    </w:p>
    <w:p>
      <w:pPr>
        <w:jc w:val="left"/>
        <w:spacing w:line="500" w:lineRule="exact"/>
        <w:rPr>
          <w:rFonts w:hint="eastAsia"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5.4 供应商需在《声明函》中逐一、准确填写产品名称、厂名、生产厂址三项信息（</w:t>
      </w:r>
      <w:r>
        <w:rPr>
          <w:rFonts w:hint="eastAsia" w:asciiTheme="minorEastAsia" w:hAnsiTheme="minorEastAsia" w:cstheme="minorEastAsia"/>
          <w:b/>
          <w:bCs/>
          <w:color w:val="ff0000"/>
          <w:sz w:val="24"/>
          <w:highlight w:val="yellow"/>
        </w:rPr>
        <w:t xml:space="preserve">《声明函》中用横线划除的地方无需填写</w:t>
      </w:r>
      <w:r>
        <w:rPr>
          <w:rFonts w:hint="eastAsia" w:asciiTheme="minorEastAsia" w:hAnsiTheme="minorEastAsia" w:cstheme="minorEastAsia"/>
          <w:b/>
          <w:bCs/>
          <w:color w:val="ff0000"/>
          <w:sz w:val="24"/>
        </w:rPr>
        <w:t xml:space="preserve">），三项信息中任意一项未填写的视为该项产品不符合本国产品标准，不享受本国产品价格评审优惠。</w:t>
      </w:r>
      <w:r/>
    </w:p>
    <w:p>
      <w:pPr>
        <w:jc w:val="left"/>
        <w:spacing w:line="500" w:lineRule="exact"/>
        <w:rPr>
          <w:rFonts w:hint="eastAsia" w:ascii="宋体" w:hAnsi="宋体" w:eastAsia="宋体" w:cs="宋体"/>
          <w:color w:val="ff0000"/>
          <w:u w:val="single"/>
        </w:rPr>
      </w:pPr>
      <w:r>
        <w:rPr>
          <w:rFonts w:hint="eastAsia" w:asciiTheme="minorEastAsia" w:hAnsiTheme="minorEastAsia" w:cstheme="minorEastAsia"/>
          <w:b/>
          <w:bCs/>
          <w:color w:val="ff0000"/>
          <w:sz w:val="24"/>
        </w:rPr>
        <w:t xml:space="preserve">5.5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rPr>
        <w:t xml:space="preserve">在苏采云系统要求</w:t>
      </w:r>
      <w:r>
        <w:rPr>
          <w:rFonts w:hint="eastAsia" w:asciiTheme="minorEastAsia" w:hAnsiTheme="minorEastAsia" w:cstheme="minorEastAsia"/>
          <w:b/>
          <w:bCs/>
          <w:color w:val="ff0000"/>
          <w:sz w:val="24"/>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500" w:lineRule="exact"/>
        <w:widowControl w:val="off"/>
        <w:rPr>
          <w:rFonts w:hint="eastAsia" w:ascii="宋体" w:hAnsi="宋体" w:eastAsia="宋体" w:cs="宋体"/>
          <w:sz w:val="24"/>
        </w:rPr>
      </w:pPr>
      <w:r>
        <w:rPr>
          <w:rFonts w:hint="eastAsia" w:ascii="宋体" w:hAnsi="宋体" w:eastAsia="宋体" w:cs="宋体"/>
          <w:sz w:val="24"/>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682"/>
        <w:ind w:firstLine="241"/>
        <w:spacing w:before="120" w:beforeAutospacing="0" w:after="120" w:afterAutospacing="0" w:line="360" w:lineRule="auto"/>
        <w:rPr>
          <w:rFonts w:hint="eastAsia" w:ascii="宋体" w:hAnsi="宋体" w:eastAsia="宋体" w:cs="宋体"/>
        </w:rPr>
        <w:outlineLvl w:val="1"/>
      </w:pPr>
      <w:r>
        <w:rPr>
          <w:rFonts w:hint="eastAsia" w:ascii="宋体" w:hAnsi="宋体" w:eastAsia="宋体" w:cs="宋体"/>
          <w:b/>
        </w:rPr>
        <w:t xml:space="preserve">二、评标方法与评标标准 </w:t>
      </w:r>
      <w:r/>
    </w:p>
    <w:tbl>
      <w:tblPr>
        <w:tblStyle w:val="658"/>
        <w:tblW w:w="97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5"/>
        <w:gridCol w:w="7400"/>
        <w:gridCol w:w="877"/>
      </w:tblGrid>
      <w:tr>
        <w:trPr>
          <w:jc w:val="center"/>
          <w:trHeight w:val="847"/>
        </w:trPr>
        <w:tc>
          <w:tcPr>
            <w:tcW w:w="1465" w:type="dxa"/>
            <w:vAlign w:val="center"/>
            <w:textDirection w:val="lrTb"/>
            <w:noWrap w:val="false"/>
          </w:tcPr>
          <w:p>
            <w:pPr>
              <w:ind w:firstLine="0"/>
              <w:jc w:val="center"/>
              <w:spacing w:line="400" w:lineRule="exact"/>
              <w:rPr>
                <w:rFonts w:ascii="Times New Roman" w:hAnsi="Times New Roman" w:eastAsia="宋体" w:cs="Times New Roman"/>
                <w:b/>
                <w:bCs/>
                <w:sz w:val="24"/>
                <w:lang w:eastAsia="zh-Hans"/>
              </w:rPr>
            </w:pPr>
            <w:r>
              <w:rPr>
                <w:rFonts w:ascii="Times New Roman" w:hAnsi="Times New Roman" w:eastAsia="宋体" w:cs="Times New Roman"/>
                <w:b/>
                <w:bCs/>
                <w:sz w:val="24"/>
                <w:lang w:eastAsia="zh-Hans"/>
              </w:rPr>
              <w:t xml:space="preserve">评分项目</w:t>
            </w:r>
            <w:r/>
          </w:p>
        </w:tc>
        <w:tc>
          <w:tcPr>
            <w:tcW w:w="7400" w:type="dxa"/>
            <w:vAlign w:val="center"/>
            <w:textDirection w:val="lrTb"/>
            <w:noWrap w:val="false"/>
          </w:tcPr>
          <w:p>
            <w:pPr>
              <w:ind w:firstLine="0"/>
              <w:jc w:val="center"/>
              <w:spacing w:line="400" w:lineRule="exact"/>
              <w:rPr>
                <w:rFonts w:ascii="Times New Roman" w:hAnsi="Times New Roman" w:eastAsia="宋体" w:cs="Times New Roman"/>
                <w:b/>
                <w:bCs/>
                <w:sz w:val="24"/>
                <w:lang w:eastAsia="zh-Hans"/>
              </w:rPr>
            </w:pPr>
            <w:r>
              <w:rPr>
                <w:rFonts w:ascii="Times New Roman" w:hAnsi="Times New Roman" w:eastAsia="宋体" w:cs="Times New Roman"/>
                <w:b/>
                <w:bCs/>
                <w:sz w:val="24"/>
                <w:lang w:eastAsia="zh-Hans"/>
              </w:rPr>
              <w:t xml:space="preserve">评分细则</w:t>
            </w:r>
            <w:r/>
          </w:p>
        </w:tc>
        <w:tc>
          <w:tcPr>
            <w:tcW w:w="877" w:type="dxa"/>
            <w:vAlign w:val="center"/>
            <w:textDirection w:val="lrTb"/>
            <w:noWrap w:val="false"/>
          </w:tcPr>
          <w:p>
            <w:pPr>
              <w:ind w:firstLine="0"/>
              <w:jc w:val="center"/>
              <w:spacing w:line="400" w:lineRule="exact"/>
              <w:rPr>
                <w:rFonts w:ascii="Times New Roman" w:hAnsi="Times New Roman" w:eastAsia="宋体" w:cs="Times New Roman"/>
                <w:b/>
                <w:bCs/>
                <w:sz w:val="24"/>
                <w:lang w:eastAsia="zh-Hans"/>
              </w:rPr>
            </w:pPr>
            <w:r>
              <w:rPr>
                <w:rFonts w:ascii="Times New Roman" w:hAnsi="Times New Roman" w:eastAsia="宋体" w:cs="Times New Roman"/>
                <w:b/>
                <w:bCs/>
                <w:sz w:val="24"/>
                <w:lang w:eastAsia="zh-Hans"/>
              </w:rPr>
              <w:t xml:space="preserve">分值</w:t>
            </w:r>
            <w:r/>
          </w:p>
        </w:tc>
      </w:tr>
      <w:tr>
        <w:trPr>
          <w:jc w:val="center"/>
          <w:trHeight w:val="1144"/>
        </w:trPr>
        <w:tc>
          <w:tcPr>
            <w:tcW w:w="1465" w:type="dxa"/>
            <w:vAlign w:val="center"/>
            <w:textDirection w:val="lrTb"/>
            <w:noWrap w:val="false"/>
          </w:tcPr>
          <w:p>
            <w:pPr>
              <w:ind w:firstLine="0"/>
              <w:jc w:val="center"/>
              <w:spacing w:line="400" w:lineRule="exact"/>
              <w:rPr>
                <w:rFonts w:ascii="Times New Roman" w:hAnsi="Times New Roman" w:eastAsia="宋体" w:cs="Times New Roman"/>
                <w:sz w:val="24"/>
                <w:lang w:eastAsia="zh-Hans"/>
              </w:rPr>
            </w:pPr>
            <w:r>
              <w:rPr>
                <w:rFonts w:ascii="Times New Roman" w:hAnsi="Times New Roman" w:eastAsia="宋体" w:cs="Times New Roman"/>
                <w:sz w:val="24"/>
                <w:lang w:eastAsia="zh-Hans"/>
              </w:rPr>
              <w:t xml:space="preserve">投标报价（</w:t>
            </w:r>
            <w:r>
              <w:rPr>
                <w:rFonts w:ascii="Times New Roman" w:hAnsi="Times New Roman" w:eastAsia="宋体" w:cs="Times New Roman"/>
                <w:sz w:val="24"/>
              </w:rPr>
              <w:t xml:space="preserve">30</w:t>
            </w:r>
            <w:r>
              <w:rPr>
                <w:rFonts w:ascii="Times New Roman" w:hAnsi="Times New Roman" w:eastAsia="宋体" w:cs="Times New Roman"/>
                <w:sz w:val="24"/>
                <w:lang w:eastAsia="zh-Hans"/>
              </w:rPr>
              <w:t xml:space="preserve">分）</w:t>
            </w:r>
            <w:r/>
          </w:p>
        </w:tc>
        <w:tc>
          <w:tcPr>
            <w:tcW w:w="7400" w:type="dxa"/>
            <w:vAlign w:val="center"/>
            <w:textDirection w:val="lrTb"/>
            <w:noWrap w:val="false"/>
          </w:tcPr>
          <w:p>
            <w:pPr>
              <w:ind w:firstLine="480"/>
              <w:jc w:val="left"/>
              <w:spacing w:line="400" w:lineRule="exact"/>
              <w:rPr>
                <w:rFonts w:ascii="Times New Roman" w:hAnsi="Times New Roman" w:eastAsia="宋体" w:cs="Times New Roman"/>
                <w:sz w:val="24"/>
                <w:lang w:eastAsia="zh-Hans"/>
              </w:rPr>
            </w:pPr>
            <w:r>
              <w:rPr>
                <w:rFonts w:hint="eastAsia" w:ascii="Times New Roman" w:hAnsi="Times New Roman" w:eastAsia="宋体" w:cs="Times New Roman"/>
                <w:sz w:val="24"/>
                <w:lang w:eastAsia="zh-Hans"/>
              </w:rPr>
              <w:t xml:space="preserve">1.采用低价优先法计算，即满足招标文件要求且投标价格最低的投标报价为评标基准价，其价格分为满分。</w:t>
            </w:r>
            <w:r/>
          </w:p>
          <w:p>
            <w:pPr>
              <w:ind w:firstLine="480"/>
              <w:jc w:val="left"/>
              <w:spacing w:line="400" w:lineRule="exact"/>
              <w:rPr>
                <w:rFonts w:ascii="Times New Roman" w:hAnsi="Times New Roman" w:eastAsia="宋体" w:cs="Times New Roman"/>
                <w:sz w:val="24"/>
                <w:lang w:eastAsia="zh-Hans"/>
              </w:rPr>
            </w:pPr>
            <w:r>
              <w:rPr>
                <w:rFonts w:hint="eastAsia" w:ascii="Times New Roman" w:hAnsi="Times New Roman" w:eastAsia="宋体" w:cs="Times New Roman"/>
                <w:sz w:val="24"/>
                <w:lang w:eastAsia="zh-Hans"/>
              </w:rPr>
              <w:t xml:space="preserve">2.其他投标人的价格分统一按下列公式计算：投标报价得分＝（评标基准价/投标报价）×30（四舍五入后保留小数点后两位）。</w:t>
            </w:r>
            <w:r/>
          </w:p>
        </w:tc>
        <w:tc>
          <w:tcPr>
            <w:tcW w:w="877" w:type="dxa"/>
            <w:vAlign w:val="center"/>
            <w:textDirection w:val="lrTb"/>
            <w:noWrap w:val="false"/>
          </w:tcPr>
          <w:p>
            <w:pPr>
              <w:ind w:firstLine="0"/>
              <w:jc w:val="center"/>
              <w:spacing w:line="400" w:lineRule="exact"/>
              <w:rPr>
                <w:rFonts w:ascii="Times New Roman" w:hAnsi="Times New Roman" w:eastAsia="宋体" w:cs="Times New Roman"/>
                <w:sz w:val="24"/>
              </w:rPr>
            </w:pPr>
            <w:r>
              <w:rPr>
                <w:rFonts w:ascii="Times New Roman" w:hAnsi="Times New Roman" w:eastAsia="宋体" w:cs="Times New Roman"/>
                <w:sz w:val="24"/>
              </w:rPr>
              <w:t xml:space="preserve">30</w:t>
            </w:r>
            <w:r/>
          </w:p>
        </w:tc>
      </w:tr>
      <w:tr>
        <w:trPr>
          <w:jc w:val="center"/>
          <w:trHeight w:val="90"/>
        </w:trPr>
        <w:tc>
          <w:tcPr>
            <w:tcW w:w="1465" w:type="dxa"/>
            <w:vAlign w:val="center"/>
            <w:textDirection w:val="lrTb"/>
            <w:noWrap w:val="false"/>
          </w:tcPr>
          <w:p>
            <w:pPr>
              <w:ind w:firstLine="0"/>
              <w:jc w:val="center"/>
              <w:spacing w:line="400" w:lineRule="exact"/>
              <w:rPr>
                <w:rFonts w:ascii="Times New Roman" w:hAnsi="Times New Roman" w:eastAsia="宋体" w:cs="Times New Roman"/>
                <w:sz w:val="24"/>
                <w:lang w:eastAsia="zh-Hans"/>
              </w:rPr>
            </w:pPr>
            <w:r>
              <w:rPr>
                <w:rFonts w:ascii="Times New Roman" w:hAnsi="Times New Roman" w:eastAsia="宋体" w:cs="Times New Roman"/>
                <w:sz w:val="24"/>
                <w:lang w:eastAsia="zh-Hans"/>
              </w:rPr>
              <w:t xml:space="preserve">技术响应</w:t>
            </w:r>
            <w:r/>
          </w:p>
          <w:p>
            <w:pPr>
              <w:ind w:firstLine="0"/>
              <w:jc w:val="center"/>
              <w:spacing w:line="400" w:lineRule="exact"/>
              <w:rPr>
                <w:rFonts w:ascii="Times New Roman" w:hAnsi="Times New Roman" w:eastAsia="宋体" w:cs="Times New Roman"/>
                <w:sz w:val="24"/>
              </w:rPr>
            </w:pPr>
            <w:r>
              <w:rPr>
                <w:rFonts w:ascii="Times New Roman" w:hAnsi="Times New Roman" w:eastAsia="宋体" w:cs="Times New Roman"/>
                <w:sz w:val="24"/>
                <w:lang w:eastAsia="zh-Hans"/>
              </w:rPr>
              <w:t xml:space="preserve">（</w:t>
            </w:r>
            <w:r>
              <w:rPr>
                <w:rFonts w:hint="eastAsia" w:ascii="Times New Roman" w:hAnsi="Times New Roman" w:eastAsia="宋体" w:cs="Times New Roman"/>
                <w:sz w:val="24"/>
              </w:rPr>
              <w:t xml:space="preserve">14</w:t>
            </w:r>
            <w:r>
              <w:rPr>
                <w:rFonts w:ascii="Times New Roman" w:hAnsi="Times New Roman" w:eastAsia="宋体" w:cs="Times New Roman"/>
                <w:sz w:val="24"/>
                <w:lang w:eastAsia="zh-Hans"/>
              </w:rPr>
              <w:t xml:space="preserve">分）</w:t>
            </w:r>
            <w:r/>
          </w:p>
        </w:tc>
        <w:tc>
          <w:tcPr>
            <w:tcW w:w="7400" w:type="dxa"/>
            <w:vAlign w:val="center"/>
            <w:textDirection w:val="lrTb"/>
            <w:noWrap w:val="false"/>
          </w:tcPr>
          <w:p>
            <w:pPr>
              <w:ind w:firstLine="480"/>
              <w:jc w:val="left"/>
              <w:spacing w:line="400" w:lineRule="exac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本项目“技术参数要求”中标注“▲”的技术参数代表重要参数，每有一项满足或正偏离的加0.5分，最高得分14分。</w:t>
            </w:r>
            <w:r/>
          </w:p>
          <w:p>
            <w:pPr>
              <w:ind w:firstLine="480"/>
              <w:jc w:val="left"/>
              <w:spacing w:line="400" w:lineRule="exac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注：投标人需针对上述加“▲”项重要技术参数提供承诺函（格式自拟，加盖投标人公章），承诺内容：中标后，在签订合同前，提供有检验检测资质的第三方检测机构出具的检测报告给采购人核验，检测费投标人在报价时自行考虑包含在报价中。投标人未提供承诺函的，对应“▲”项视为负偏离，不予加分。（如提供检测报告的，投标人应当核实检测报告的真实性，包括确认检测机构是否具备相应资质、相应资质是否在市场监管部门官网可查、检测报告内容是否真实等，如投标人未尽审查义务，依法承担相应法律责任。）</w:t>
            </w:r>
            <w:r/>
          </w:p>
          <w:p>
            <w:pPr>
              <w:ind w:firstLine="480"/>
              <w:jc w:val="left"/>
              <w:spacing w:line="400" w:lineRule="exac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中标人在合同签订前，</w:t>
            </w:r>
            <w:r>
              <w:rPr>
                <w:rFonts w:hint="eastAsia" w:ascii="Times New Roman" w:hAnsi="Times New Roman" w:eastAsia="宋体" w:cs="Times New Roman"/>
                <w:sz w:val="24"/>
                <w:highlight w:val="none"/>
              </w:rPr>
              <w:t xml:space="preserve">如无法提供检测报告，或提供的检测报告不满足要求，或存在虚假响应谋取中标的情形，中标无效，并由中标人承担相应的法律责任。</w:t>
            </w:r>
            <w:r/>
          </w:p>
        </w:tc>
        <w:tc>
          <w:tcPr>
            <w:tcW w:w="877" w:type="dxa"/>
            <w:vAlign w:val="center"/>
            <w:textDirection w:val="lrTb"/>
            <w:noWrap w:val="false"/>
          </w:tcPr>
          <w:p>
            <w:pPr>
              <w:ind w:firstLine="0"/>
              <w:jc w:val="center"/>
              <w:spacing w:line="400" w:lineRule="exact"/>
              <w:rPr>
                <w:rFonts w:ascii="Times New Roman" w:hAnsi="Times New Roman" w:eastAsia="宋体" w:cs="Times New Roman"/>
                <w:sz w:val="24"/>
              </w:rPr>
            </w:pPr>
            <w:r>
              <w:rPr>
                <w:rFonts w:hint="eastAsia" w:ascii="Times New Roman" w:hAnsi="Times New Roman" w:eastAsia="宋体" w:cs="Times New Roman"/>
                <w:sz w:val="24"/>
              </w:rPr>
              <w:t xml:space="preserve">14</w:t>
            </w:r>
            <w:r/>
          </w:p>
        </w:tc>
      </w:tr>
      <w:tr>
        <w:trPr>
          <w:jc w:val="center"/>
          <w:trHeight w:val="90"/>
        </w:trPr>
        <w:tc>
          <w:tcPr>
            <w:tcW w:w="1465" w:type="dxa"/>
            <w:vAlign w:val="center"/>
            <w:textDirection w:val="lrTb"/>
            <w:noWrap w:val="false"/>
          </w:tcPr>
          <w:p>
            <w:pPr>
              <w:ind w:firstLine="0"/>
              <w:jc w:val="center"/>
              <w:spacing w:line="360" w:lineRule="auto"/>
              <w:rPr>
                <w:rFonts w:ascii="Times New Roman" w:hAnsi="Times New Roman" w:eastAsia="宋体" w:cs="Times New Roman"/>
                <w:sz w:val="24"/>
              </w:rPr>
            </w:pPr>
            <w:r>
              <w:rPr>
                <w:rFonts w:hint="eastAsia" w:ascii="宋体" w:hAnsi="宋体" w:eastAsia="宋体" w:cs="宋体"/>
                <w:sz w:val="24"/>
              </w:rPr>
              <w:t xml:space="preserve">馆藏文物环境监控系统方案</w:t>
            </w:r>
            <w:r/>
          </w:p>
          <w:p>
            <w:pPr>
              <w:ind w:firstLine="0"/>
              <w:jc w:val="center"/>
              <w:spacing w:line="400" w:lineRule="exact"/>
              <w:rPr>
                <w:rFonts w:ascii="Times New Roman" w:hAnsi="Times New Roman" w:eastAsia="宋体" w:cs="Times New Roman"/>
                <w:sz w:val="24"/>
                <w:lang w:eastAsia="zh-Hans"/>
              </w:rPr>
            </w:pPr>
            <w:r>
              <w:rPr>
                <w:rFonts w:ascii="Times New Roman" w:hAnsi="Times New Roman" w:eastAsia="宋体" w:cs="Times New Roman"/>
                <w:sz w:val="24"/>
                <w:lang w:eastAsia="zh-Hans"/>
              </w:rPr>
              <w:t xml:space="preserve">（</w:t>
            </w:r>
            <w:r>
              <w:rPr>
                <w:rFonts w:hint="eastAsia" w:ascii="Times New Roman" w:hAnsi="Times New Roman" w:eastAsia="宋体" w:cs="Times New Roman"/>
                <w:sz w:val="24"/>
              </w:rPr>
              <w:t xml:space="preserve">4</w:t>
            </w:r>
            <w:r>
              <w:rPr>
                <w:rFonts w:ascii="Times New Roman" w:hAnsi="Times New Roman" w:eastAsia="宋体" w:cs="Times New Roman"/>
                <w:sz w:val="24"/>
                <w:lang w:eastAsia="zh-Hans"/>
              </w:rPr>
              <w:t xml:space="preserve">分</w:t>
            </w:r>
            <w:r>
              <w:rPr>
                <w:rFonts w:ascii="Times New Roman" w:hAnsi="Times New Roman" w:eastAsia="宋体" w:cs="Times New Roman"/>
              </w:rPr>
              <w:t xml:space="preserve">）</w:t>
            </w:r>
            <w:r/>
          </w:p>
        </w:tc>
        <w:tc>
          <w:tcPr>
            <w:tcW w:w="7400" w:type="dxa"/>
            <w:vAlign w:val="center"/>
            <w:textDirection w:val="lrTb"/>
            <w:noWrap w:val="false"/>
          </w:tcPr>
          <w:p>
            <w:pPr>
              <w:ind w:firstLine="480"/>
              <w:spacing w:line="400" w:lineRule="exact"/>
              <w:rPr>
                <w:rFonts w:ascii="Times New Roman" w:hAnsi="Times New Roman" w:eastAsia="宋体" w:cs="Times New Roman"/>
                <w:color w:val="000000"/>
                <w:sz w:val="24"/>
              </w:rPr>
            </w:pPr>
            <w:r>
              <w:rPr>
                <w:rFonts w:hint="eastAsia" w:ascii="Times New Roman" w:hAnsi="Times New Roman" w:eastAsia="宋体" w:cs="Times New Roman"/>
                <w:sz w:val="24"/>
              </w:rPr>
              <w:t xml:space="preserve">投标人根据本项目第四章中“</w:t>
            </w:r>
            <w:r>
              <w:rPr>
                <w:rFonts w:hint="eastAsia" w:ascii="宋体" w:hAnsi="宋体" w:eastAsia="宋体" w:cs="宋体"/>
                <w:sz w:val="24"/>
              </w:rPr>
              <w:t xml:space="preserve">馆藏文物环境监控系统方案</w:t>
            </w:r>
            <w:r>
              <w:rPr>
                <w:rFonts w:hint="eastAsia" w:ascii="Times New Roman" w:hAnsi="Times New Roman" w:eastAsia="宋体" w:cs="Times New Roman"/>
                <w:sz w:val="24"/>
              </w:rPr>
              <w:t xml:space="preserve">”要求，提供科学合理的馆藏文物环境监控系统方案，至少包含：</w:t>
            </w:r>
            <w:r>
              <w:rPr>
                <w:rFonts w:hint="eastAsia" w:ascii="Cambria Math" w:hAnsi="Cambria Math" w:eastAsia="宋体" w:cs="Cambria Math"/>
                <w:color w:val="000000"/>
                <w:sz w:val="24"/>
              </w:rPr>
              <w:t xml:space="preserve">①</w:t>
            </w:r>
            <w:r>
              <w:rPr>
                <w:rFonts w:hint="eastAsia" w:ascii="Times New Roman" w:hAnsi="Times New Roman" w:eastAsia="宋体" w:cs="Times New Roman"/>
                <w:sz w:val="24"/>
              </w:rPr>
              <w:t xml:space="preserve">方案原理；</w:t>
            </w:r>
            <w:r>
              <w:rPr>
                <w:rFonts w:hint="eastAsia" w:ascii="Cambria Math" w:hAnsi="Cambria Math" w:eastAsia="宋体" w:cs="Cambria Math"/>
                <w:color w:val="000000"/>
                <w:sz w:val="24"/>
              </w:rPr>
              <w:t xml:space="preserve">②</w:t>
            </w:r>
            <w:r>
              <w:rPr>
                <w:rFonts w:ascii="Times New Roman" w:hAnsi="Times New Roman" w:eastAsia="宋体" w:cs="Times New Roman"/>
                <w:sz w:val="24"/>
              </w:rPr>
              <w:t xml:space="preserve">系统架构</w:t>
            </w:r>
            <w:r>
              <w:rPr>
                <w:rFonts w:hint="eastAsia" w:ascii="Cambria Math" w:hAnsi="Cambria Math" w:eastAsia="宋体" w:cs="Cambria Math"/>
                <w:color w:val="000000"/>
                <w:sz w:val="24"/>
              </w:rPr>
              <w:t xml:space="preserve">；③</w:t>
            </w:r>
            <w:r>
              <w:rPr>
                <w:rFonts w:ascii="Times New Roman" w:hAnsi="Times New Roman" w:eastAsia="宋体" w:cs="Times New Roman"/>
                <w:sz w:val="24"/>
              </w:rPr>
              <w:t xml:space="preserve">关键技术</w:t>
            </w:r>
            <w:r>
              <w:rPr>
                <w:rFonts w:hint="eastAsia" w:ascii="Times New Roman" w:hAnsi="Times New Roman" w:eastAsia="宋体" w:cs="Times New Roman"/>
                <w:sz w:val="24"/>
              </w:rPr>
              <w:t xml:space="preserve">说明等方面内容</w:t>
            </w:r>
            <w:r>
              <w:rPr>
                <w:rFonts w:hint="eastAsia" w:ascii="Times New Roman" w:hAnsi="Times New Roman" w:eastAsia="宋体" w:cs="Times New Roman"/>
                <w:color w:val="000000"/>
                <w:sz w:val="24"/>
              </w:rPr>
              <w:t xml:space="preserve">。方案优于项目需求的得4分；满足项目需求的得2分；不满足或无此项内容的本项不得分。</w:t>
            </w:r>
            <w:r/>
          </w:p>
          <w:p>
            <w:pPr>
              <w:ind w:firstLine="480"/>
              <w:jc w:val="left"/>
              <w:spacing w:line="400" w:lineRule="exact"/>
              <w:rPr>
                <w:rFonts w:ascii="Times New Roman" w:hAnsi="Times New Roman" w:eastAsia="宋体" w:cs="Times New Roman"/>
                <w:sz w:val="24"/>
              </w:rPr>
            </w:pPr>
            <w:r>
              <w:rPr>
                <w:rFonts w:hint="eastAsia" w:ascii="Times New Roman" w:hAnsi="Times New Roman" w:eastAsia="宋体" w:cs="Times New Roman"/>
                <w:color w:val="000000"/>
                <w:sz w:val="24"/>
              </w:rPr>
              <w:t xml:space="preserve">投标人提供的方案能全部响应要求，提出更为细致、有针对性、切实可行、要求之外且和本项目实施相关的内容的，可视为优于；方案能响应要求的可视为满足；方案内容生搬硬造、与实际情况不符、存在偏差，方案对于要求的响应不完全或者偏离要求的，视为不满足。具体由评审委员会评审。</w:t>
            </w:r>
            <w:r/>
          </w:p>
        </w:tc>
        <w:tc>
          <w:tcPr>
            <w:tcW w:w="877" w:type="dxa"/>
            <w:vAlign w:val="center"/>
            <w:textDirection w:val="lrTb"/>
            <w:noWrap w:val="false"/>
          </w:tcPr>
          <w:p>
            <w:pPr>
              <w:ind w:firstLine="0"/>
              <w:jc w:val="center"/>
              <w:spacing w:line="400" w:lineRule="exact"/>
              <w:rPr>
                <w:rFonts w:ascii="Times New Roman" w:hAnsi="Times New Roman" w:eastAsia="宋体" w:cs="Times New Roman"/>
                <w:sz w:val="24"/>
              </w:rPr>
            </w:pPr>
            <w:r>
              <w:rPr>
                <w:rFonts w:hint="eastAsia" w:ascii="Times New Roman" w:hAnsi="Times New Roman" w:eastAsia="宋体" w:cs="Times New Roman"/>
                <w:sz w:val="24"/>
              </w:rPr>
              <w:t xml:space="preserve">4</w:t>
            </w:r>
            <w:r/>
          </w:p>
        </w:tc>
      </w:tr>
      <w:tr>
        <w:trPr>
          <w:jc w:val="center"/>
          <w:trHeight w:val="90"/>
        </w:trPr>
        <w:tc>
          <w:tcPr>
            <w:tcW w:w="1465" w:type="dxa"/>
            <w:vAlign w:val="center"/>
            <w:textDirection w:val="lrTb"/>
            <w:noWrap w:val="false"/>
          </w:tcPr>
          <w:p>
            <w:pPr>
              <w:ind w:firstLine="0"/>
              <w:jc w:val="center"/>
              <w:spacing w:line="360" w:lineRule="auto"/>
              <w:rPr>
                <w:rFonts w:ascii="Times New Roman" w:hAnsi="Times New Roman" w:eastAsia="宋体" w:cs="Times New Roman"/>
                <w:sz w:val="24"/>
                <w:highlight w:val="none"/>
              </w:rPr>
            </w:pPr>
            <w:r>
              <w:rPr>
                <w:rFonts w:hint="eastAsia" w:ascii="宋体" w:hAnsi="宋体" w:eastAsia="宋体" w:cs="宋体"/>
                <w:sz w:val="24"/>
                <w:highlight w:val="none"/>
              </w:rPr>
              <w:t xml:space="preserve">文物保存微环境调控方案</w:t>
            </w:r>
            <w:r/>
          </w:p>
          <w:p>
            <w:pPr>
              <w:ind w:firstLine="0"/>
              <w:jc w:val="center"/>
              <w:spacing w:line="360"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（4分）</w:t>
            </w:r>
            <w:r/>
          </w:p>
        </w:tc>
        <w:tc>
          <w:tcPr>
            <w:tcW w:w="7400" w:type="dxa"/>
            <w:vAlign w:val="center"/>
            <w:textDirection w:val="lrTb"/>
            <w:noWrap w:val="false"/>
          </w:tcPr>
          <w:p>
            <w:pPr>
              <w:ind w:firstLine="480"/>
              <w:spacing w:line="400" w:lineRule="exact"/>
              <w:rPr>
                <w:rFonts w:ascii="Times New Roman" w:hAnsi="Times New Roman" w:eastAsia="宋体" w:cs="Times New Roman"/>
                <w:color w:val="000000"/>
                <w:sz w:val="24"/>
                <w:highlight w:val="none"/>
              </w:rPr>
            </w:pPr>
            <w:r>
              <w:rPr>
                <w:rFonts w:hint="eastAsia" w:ascii="Times New Roman" w:hAnsi="Times New Roman" w:eastAsia="宋体" w:cs="Times New Roman"/>
                <w:sz w:val="24"/>
                <w:highlight w:val="none"/>
              </w:rPr>
              <w:t xml:space="preserve">投标人根据本项目第四章中“文物保存微环境调控方案”要求，提供科学合理的文物保存微环境调控方案，至少包含：</w:t>
            </w:r>
            <w:r>
              <w:rPr>
                <w:rFonts w:hint="eastAsia" w:ascii="Cambria Math" w:hAnsi="Cambria Math" w:eastAsia="宋体" w:cs="Cambria Math"/>
                <w:color w:val="000000"/>
                <w:sz w:val="24"/>
                <w:highlight w:val="none"/>
              </w:rPr>
              <w:t xml:space="preserve">①调控策略；②告警与应急处理</w:t>
            </w:r>
            <w:r>
              <w:rPr>
                <w:rFonts w:hint="eastAsia" w:ascii="Cambria Math" w:hAnsi="Cambria Math" w:eastAsia="宋体" w:cs="Cambria Math"/>
                <w:color w:val="000000"/>
                <w:sz w:val="24"/>
                <w:highlight w:val="none"/>
                <w:lang w:eastAsia="zh-CN"/>
              </w:rPr>
              <w:t xml:space="preserve">；</w:t>
            </w:r>
            <w:r>
              <w:rPr>
                <w:rFonts w:hint="eastAsia" w:ascii="Cambria Math" w:hAnsi="Cambria Math" w:eastAsia="宋体" w:cs="Cambria Math"/>
                <w:color w:val="000000"/>
                <w:sz w:val="24"/>
                <w:highlight w:val="none"/>
                <w:lang w:val="en-US" w:eastAsia="zh-CN"/>
              </w:rPr>
              <w:t xml:space="preserve">③环境调控效果验证</w:t>
            </w:r>
            <w:r>
              <w:rPr>
                <w:rFonts w:hint="eastAsia" w:ascii="Times New Roman" w:hAnsi="Times New Roman" w:eastAsia="宋体" w:cs="Times New Roman"/>
                <w:sz w:val="24"/>
                <w:highlight w:val="none"/>
              </w:rPr>
              <w:t xml:space="preserve">等方面内容。</w:t>
            </w:r>
            <w:r>
              <w:rPr>
                <w:rFonts w:hint="eastAsia" w:ascii="Times New Roman" w:hAnsi="Times New Roman" w:eastAsia="宋体" w:cs="Times New Roman"/>
                <w:color w:val="000000"/>
                <w:sz w:val="24"/>
                <w:highlight w:val="none"/>
              </w:rPr>
              <w:t xml:space="preserve">方案优于项目需求的得4分；满足项目需求的得2分；不满足或无此项内容的本项不得分。</w:t>
            </w:r>
            <w:r/>
          </w:p>
          <w:p>
            <w:pPr>
              <w:ind w:firstLine="480"/>
              <w:spacing w:line="400" w:lineRule="exact"/>
              <w:rPr>
                <w:rFonts w:ascii="Times New Roman" w:hAnsi="Times New Roman" w:eastAsia="宋体" w:cs="Times New Roman"/>
                <w:sz w:val="24"/>
                <w:highlight w:val="none"/>
              </w:rPr>
            </w:pPr>
            <w:r>
              <w:rPr>
                <w:rFonts w:hint="eastAsia" w:ascii="Times New Roman" w:hAnsi="Times New Roman" w:eastAsia="宋体" w:cs="Times New Roman"/>
                <w:color w:val="000000"/>
                <w:sz w:val="24"/>
                <w:highlight w:val="none"/>
              </w:rPr>
              <w:t xml:space="preserve">投标人提供的方案能全部响应要求，提出更为细致、有针对性、切实可行、要求之外且和本项目实施相关的内容的，可视为优于；方案能响应要求的可视为满足；方案内容生搬硬造、与实际情况不符、存在偏差，方案对于要求的响应不完全或者偏离要求的，视为不满足。具体由评审委员会评审。</w:t>
            </w:r>
            <w:r/>
          </w:p>
        </w:tc>
        <w:tc>
          <w:tcPr>
            <w:tcW w:w="877" w:type="dxa"/>
            <w:vAlign w:val="center"/>
            <w:textDirection w:val="lrTb"/>
            <w:noWrap w:val="false"/>
          </w:tcPr>
          <w:p>
            <w:pPr>
              <w:ind w:firstLine="0"/>
              <w:jc w:val="center"/>
              <w:spacing w:line="400" w:lineRule="exact"/>
              <w:rPr>
                <w:rFonts w:ascii="Times New Roman" w:hAnsi="Times New Roman" w:eastAsia="宋体" w:cs="Times New Roman"/>
                <w:sz w:val="24"/>
                <w:highlight w:val="yellow"/>
              </w:rPr>
            </w:pPr>
            <w:r>
              <w:rPr>
                <w:rFonts w:hint="eastAsia" w:ascii="Times New Roman" w:hAnsi="Times New Roman" w:eastAsia="宋体" w:cs="Times New Roman"/>
                <w:sz w:val="24"/>
                <w:highlight w:val="none"/>
              </w:rPr>
              <w:t xml:space="preserve">4</w:t>
            </w:r>
            <w:r/>
          </w:p>
        </w:tc>
      </w:tr>
      <w:tr>
        <w:trPr>
          <w:jc w:val="center"/>
          <w:trHeight w:val="90"/>
        </w:trPr>
        <w:tc>
          <w:tcPr>
            <w:tcW w:w="1465" w:type="dxa"/>
            <w:vAlign w:val="center"/>
            <w:textDirection w:val="lrTb"/>
            <w:noWrap w:val="false"/>
          </w:tcPr>
          <w:p>
            <w:pPr>
              <w:ind w:firstLine="0"/>
              <w:jc w:val="center"/>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项目部署方案</w:t>
            </w:r>
            <w:r/>
          </w:p>
          <w:p>
            <w:pPr>
              <w:ind w:firstLine="0"/>
              <w:jc w:val="center"/>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（5分）</w:t>
            </w:r>
            <w:r/>
          </w:p>
        </w:tc>
        <w:tc>
          <w:tcPr>
            <w:tcW w:w="7400" w:type="dxa"/>
            <w:vAlign w:val="center"/>
            <w:textDirection w:val="lrTb"/>
            <w:noWrap w:val="false"/>
          </w:tcPr>
          <w:p>
            <w:pPr>
              <w:ind w:firstLine="480"/>
              <w:spacing w:line="400" w:lineRule="exact"/>
              <w:rPr>
                <w:rFonts w:ascii="Times New Roman" w:hAnsi="Times New Roman" w:eastAsia="宋体" w:cs="Times New Roman"/>
                <w:color w:val="000000"/>
                <w:sz w:val="24"/>
              </w:rPr>
            </w:pPr>
            <w:r>
              <w:rPr>
                <w:rFonts w:hint="eastAsia" w:ascii="Times New Roman" w:hAnsi="Times New Roman" w:eastAsia="宋体" w:cs="Times New Roman"/>
                <w:sz w:val="24"/>
              </w:rPr>
              <w:t xml:space="preserve">投标人根据本项目第四章中“项目部署方案”要求，提供科学合理的项目部署方案，至少包含：</w:t>
            </w:r>
            <w:r>
              <w:rPr>
                <w:rFonts w:hint="eastAsia" w:ascii="Cambria Math" w:hAnsi="Cambria Math" w:eastAsia="宋体" w:cs="Cambria Math"/>
                <w:color w:val="000000"/>
                <w:sz w:val="24"/>
              </w:rPr>
              <w:t xml:space="preserve">①</w:t>
            </w:r>
            <w:r>
              <w:rPr>
                <w:rFonts w:hint="eastAsia" w:ascii="Times New Roman" w:hAnsi="Times New Roman" w:eastAsia="宋体" w:cs="Times New Roman"/>
                <w:sz w:val="24"/>
              </w:rPr>
              <w:t xml:space="preserve">设施设备</w:t>
            </w:r>
            <w:r>
              <w:rPr>
                <w:rFonts w:ascii="Times New Roman" w:hAnsi="Times New Roman" w:eastAsia="宋体" w:cs="Times New Roman"/>
                <w:sz w:val="24"/>
              </w:rPr>
              <w:t xml:space="preserve">的部署</w:t>
            </w:r>
            <w:r>
              <w:rPr>
                <w:rFonts w:hint="eastAsia" w:ascii="Times New Roman" w:hAnsi="Times New Roman" w:eastAsia="宋体" w:cs="Times New Roman"/>
                <w:sz w:val="24"/>
              </w:rPr>
              <w:t xml:space="preserve">位置</w:t>
            </w:r>
            <w:r>
              <w:rPr>
                <w:rFonts w:ascii="Times New Roman" w:hAnsi="Times New Roman" w:eastAsia="宋体" w:cs="Times New Roman"/>
                <w:sz w:val="24"/>
              </w:rPr>
              <w:t xml:space="preserve">图</w:t>
            </w:r>
            <w:r>
              <w:rPr>
                <w:rFonts w:hint="eastAsia" w:ascii="Times New Roman" w:hAnsi="Times New Roman" w:eastAsia="宋体" w:cs="Times New Roman"/>
                <w:sz w:val="24"/>
              </w:rPr>
              <w:t xml:space="preserve">；</w:t>
            </w:r>
            <w:r>
              <w:rPr>
                <w:rFonts w:hint="eastAsia" w:ascii="Cambria Math" w:hAnsi="Cambria Math" w:eastAsia="宋体" w:cs="Cambria Math"/>
                <w:color w:val="000000"/>
                <w:sz w:val="24"/>
              </w:rPr>
              <w:t xml:space="preserve">②展柜恒湿机的用电线路敷设图</w:t>
            </w:r>
            <w:r>
              <w:rPr>
                <w:rFonts w:hint="eastAsia" w:ascii="Cambria Math" w:hAnsi="Cambria Math" w:eastAsia="宋体" w:cs="Cambria Math"/>
                <w:color w:val="000000"/>
                <w:sz w:val="24"/>
                <w:lang w:eastAsia="zh-CN"/>
              </w:rPr>
              <w:t xml:space="preserve">；</w:t>
            </w:r>
            <w:r>
              <w:rPr>
                <w:rFonts w:hint="eastAsia" w:ascii="Cambria Math" w:hAnsi="Cambria Math" w:eastAsia="宋体" w:cs="Cambria Math"/>
                <w:color w:val="000000"/>
                <w:sz w:val="24"/>
                <w:lang w:val="en-US" w:eastAsia="zh-CN"/>
              </w:rPr>
              <w:t xml:space="preserve">③原有设备处置</w:t>
            </w:r>
            <w:r>
              <w:rPr>
                <w:rFonts w:hint="eastAsia" w:ascii="Times New Roman" w:hAnsi="Times New Roman" w:eastAsia="宋体" w:cs="Times New Roman"/>
                <w:sz w:val="24"/>
              </w:rPr>
              <w:t xml:space="preserve">等方面内容。</w:t>
            </w:r>
            <w:r>
              <w:rPr>
                <w:rFonts w:hint="eastAsia" w:ascii="Times New Roman" w:hAnsi="Times New Roman" w:eastAsia="宋体" w:cs="Times New Roman"/>
                <w:color w:val="000000"/>
                <w:sz w:val="24"/>
              </w:rPr>
              <w:t xml:space="preserve">方案优于项目需求的得5分；满足项目需求的得3分；不满足或无此项内容的本项不得分。</w:t>
            </w:r>
            <w:r/>
          </w:p>
          <w:p>
            <w:pPr>
              <w:ind w:firstLine="480"/>
              <w:spacing w:line="400" w:lineRule="exact"/>
              <w:rPr>
                <w:rFonts w:ascii="Times New Roman" w:hAnsi="Times New Roman" w:eastAsia="宋体" w:cs="Times New Roman"/>
                <w:sz w:val="24"/>
              </w:rPr>
            </w:pPr>
            <w:r>
              <w:rPr>
                <w:rFonts w:hint="eastAsia" w:ascii="Times New Roman" w:hAnsi="Times New Roman" w:eastAsia="宋体" w:cs="Times New Roman"/>
                <w:color w:val="000000"/>
                <w:sz w:val="24"/>
              </w:rPr>
              <w:t xml:space="preserve">投标人提供的方案能全部响应要求，提出更为细致、有针对性、切实可行、要求之外且和本项目实施相关的内容的，可视为优于；方案能响应要求的可视为满足；方案内容生搬硬造、与实际情况不符、存在偏差，方案对于要求的响应不完全或者偏离要求的，视为不满足。具体由评审委员会评审。</w:t>
            </w:r>
            <w:r/>
          </w:p>
        </w:tc>
        <w:tc>
          <w:tcPr>
            <w:tcW w:w="877" w:type="dxa"/>
            <w:vAlign w:val="center"/>
            <w:textDirection w:val="lrTb"/>
            <w:noWrap w:val="false"/>
          </w:tcPr>
          <w:p>
            <w:pPr>
              <w:ind w:firstLine="0"/>
              <w:jc w:val="center"/>
              <w:spacing w:line="400" w:lineRule="exact"/>
              <w:rPr>
                <w:rFonts w:ascii="Times New Roman" w:hAnsi="Times New Roman" w:eastAsia="宋体" w:cs="Times New Roman"/>
                <w:sz w:val="24"/>
              </w:rPr>
            </w:pPr>
            <w:r>
              <w:rPr>
                <w:rFonts w:hint="eastAsia" w:ascii="Times New Roman" w:hAnsi="Times New Roman" w:eastAsia="宋体" w:cs="Times New Roman"/>
                <w:sz w:val="24"/>
              </w:rPr>
              <w:t xml:space="preserve">5</w:t>
            </w:r>
            <w:r/>
          </w:p>
        </w:tc>
      </w:tr>
      <w:tr>
        <w:trPr>
          <w:jc w:val="center"/>
          <w:trHeight w:val="90"/>
        </w:trPr>
        <w:tc>
          <w:tcPr>
            <w:tcW w:w="1465" w:type="dxa"/>
            <w:vAlign w:val="center"/>
            <w:textDirection w:val="lrTb"/>
            <w:noWrap w:val="false"/>
          </w:tcPr>
          <w:p>
            <w:pPr>
              <w:ind w:firstLine="0"/>
              <w:jc w:val="center"/>
              <w:spacing w:line="360" w:lineRule="auto"/>
              <w:rPr>
                <w:rFonts w:ascii="Times New Roman" w:hAnsi="Times New Roman" w:eastAsia="宋体" w:cs="Times New Roman"/>
                <w:sz w:val="24"/>
                <w:lang w:eastAsia="zh-Hans"/>
              </w:rPr>
            </w:pPr>
            <w:r>
              <w:rPr>
                <w:rFonts w:hint="eastAsia" w:ascii="Times New Roman" w:hAnsi="Times New Roman" w:eastAsia="宋体" w:cs="Times New Roman"/>
                <w:sz w:val="24"/>
                <w:lang w:eastAsia="zh-Hans"/>
              </w:rPr>
              <w:t xml:space="preserve">安装</w:t>
            </w:r>
            <w:r>
              <w:rPr>
                <w:rFonts w:ascii="Times New Roman" w:hAnsi="Times New Roman" w:eastAsia="宋体" w:cs="Times New Roman"/>
                <w:sz w:val="24"/>
                <w:lang w:eastAsia="zh-Hans"/>
              </w:rPr>
              <w:t xml:space="preserve">方案</w:t>
            </w:r>
            <w:r/>
          </w:p>
          <w:p>
            <w:pPr>
              <w:ind w:firstLine="0"/>
              <w:jc w:val="center"/>
              <w:spacing w:line="360" w:lineRule="auto"/>
              <w:rPr>
                <w:rFonts w:ascii="Times New Roman" w:hAnsi="Times New Roman" w:eastAsia="宋体" w:cs="Times New Roman"/>
                <w:sz w:val="24"/>
              </w:rPr>
            </w:pPr>
            <w:r>
              <w:rPr>
                <w:rFonts w:ascii="Times New Roman" w:hAnsi="Times New Roman" w:eastAsia="宋体" w:cs="Times New Roman"/>
                <w:sz w:val="24"/>
                <w:lang w:eastAsia="zh-Hans"/>
              </w:rPr>
              <w:t xml:space="preserve">（</w:t>
            </w:r>
            <w:r>
              <w:rPr>
                <w:rFonts w:hint="eastAsia" w:ascii="Times New Roman" w:hAnsi="Times New Roman" w:eastAsia="宋体" w:cs="Times New Roman"/>
                <w:sz w:val="24"/>
              </w:rPr>
              <w:t xml:space="preserve">5</w:t>
            </w:r>
            <w:r>
              <w:rPr>
                <w:rFonts w:ascii="Times New Roman" w:hAnsi="Times New Roman" w:eastAsia="宋体" w:cs="Times New Roman"/>
                <w:sz w:val="24"/>
                <w:lang w:eastAsia="zh-Hans"/>
              </w:rPr>
              <w:t xml:space="preserve">分</w:t>
            </w:r>
            <w:r>
              <w:rPr>
                <w:rFonts w:ascii="Times New Roman" w:hAnsi="Times New Roman" w:eastAsia="宋体" w:cs="Times New Roman"/>
              </w:rPr>
              <w:t xml:space="preserve">）</w:t>
            </w:r>
            <w:r/>
          </w:p>
        </w:tc>
        <w:tc>
          <w:tcPr>
            <w:tcW w:w="7400" w:type="dxa"/>
            <w:vAlign w:val="center"/>
            <w:textDirection w:val="lrTb"/>
            <w:noWrap w:val="false"/>
          </w:tcPr>
          <w:p>
            <w:pPr>
              <w:ind w:firstLine="480"/>
              <w:spacing w:line="400" w:lineRule="exact"/>
              <w:rPr>
                <w:rFonts w:ascii="Times New Roman" w:hAnsi="Times New Roman" w:eastAsia="宋体" w:cs="Times New Roman"/>
                <w:color w:val="000000"/>
                <w:sz w:val="24"/>
              </w:rPr>
            </w:pPr>
            <w:r>
              <w:rPr>
                <w:rFonts w:hint="eastAsia" w:ascii="Times New Roman" w:hAnsi="Times New Roman" w:eastAsia="宋体" w:cs="Times New Roman"/>
                <w:sz w:val="24"/>
              </w:rPr>
              <w:t xml:space="preserve">投标人根据本项目第四章中“安装方案”要求，提供科学合理的安装方案，至少包含：</w:t>
            </w:r>
            <w:r>
              <w:rPr>
                <w:rFonts w:hint="eastAsia" w:ascii="Cambria Math" w:hAnsi="Cambria Math" w:eastAsia="宋体" w:cs="Cambria Math"/>
                <w:color w:val="000000"/>
                <w:sz w:val="24"/>
              </w:rPr>
              <w:t xml:space="preserve">①</w:t>
            </w:r>
            <w:r>
              <w:rPr>
                <w:rFonts w:hint="eastAsia" w:ascii="宋体" w:hAnsi="宋体" w:eastAsia="宋体" w:cs="宋体"/>
                <w:sz w:val="24"/>
              </w:rPr>
              <w:t xml:space="preserve">展柜密闭性改造实施方案</w:t>
            </w:r>
            <w:r>
              <w:rPr>
                <w:rFonts w:hint="eastAsia" w:ascii="Cambria Math" w:hAnsi="Cambria Math" w:eastAsia="宋体" w:cs="Cambria Math"/>
                <w:color w:val="000000"/>
                <w:sz w:val="24"/>
              </w:rPr>
              <w:t xml:space="preserve">；②</w:t>
            </w:r>
            <w:r>
              <w:rPr>
                <w:rFonts w:hint="eastAsia" w:ascii="宋体" w:hAnsi="宋体" w:eastAsia="宋体" w:cs="宋体"/>
                <w:sz w:val="24"/>
              </w:rPr>
              <w:t xml:space="preserve">展柜密闭性改造效果的测试方案</w:t>
            </w:r>
            <w:r>
              <w:rPr>
                <w:rFonts w:hint="eastAsia" w:ascii="Times New Roman" w:hAnsi="Times New Roman" w:eastAsia="宋体" w:cs="Times New Roman"/>
                <w:sz w:val="24"/>
              </w:rPr>
              <w:t xml:space="preserve">；</w:t>
            </w:r>
            <w:r>
              <w:rPr>
                <w:rFonts w:hint="eastAsia" w:ascii="Cambria Math" w:hAnsi="Cambria Math" w:eastAsia="宋体" w:cs="Cambria Math"/>
                <w:color w:val="000000"/>
                <w:sz w:val="24"/>
              </w:rPr>
              <w:t xml:space="preserve">③</w:t>
            </w:r>
            <w:r>
              <w:rPr>
                <w:rFonts w:hint="eastAsia" w:ascii="宋体" w:hAnsi="宋体" w:eastAsia="宋体" w:cs="宋体"/>
                <w:sz w:val="24"/>
              </w:rPr>
              <w:t xml:space="preserve">设备安装连接方案</w:t>
            </w:r>
            <w:r>
              <w:rPr>
                <w:rFonts w:hint="eastAsia" w:ascii="Cambria Math" w:hAnsi="Cambria Math" w:eastAsia="宋体" w:cs="Cambria Math"/>
                <w:color w:val="000000"/>
                <w:sz w:val="24"/>
              </w:rPr>
              <w:t xml:space="preserve">等方面内容</w:t>
            </w:r>
            <w:r>
              <w:rPr>
                <w:rFonts w:hint="eastAsia" w:ascii="Times New Roman" w:hAnsi="Times New Roman" w:eastAsia="宋体" w:cs="Times New Roman"/>
                <w:sz w:val="24"/>
              </w:rPr>
              <w:t xml:space="preserve">。</w:t>
            </w:r>
            <w:r>
              <w:rPr>
                <w:rFonts w:hint="eastAsia" w:ascii="Times New Roman" w:hAnsi="Times New Roman" w:eastAsia="宋体" w:cs="Times New Roman"/>
                <w:color w:val="000000"/>
                <w:sz w:val="24"/>
              </w:rPr>
              <w:t xml:space="preserve">方案优于项目需求的得</w:t>
            </w:r>
            <w:r>
              <w:rPr>
                <w:rFonts w:hint="eastAsia" w:ascii="Times New Roman" w:hAnsi="Times New Roman" w:eastAsia="宋体" w:cs="Times New Roman"/>
                <w:sz w:val="24"/>
              </w:rPr>
              <w:t xml:space="preserve">5</w:t>
            </w:r>
            <w:r>
              <w:rPr>
                <w:rFonts w:hint="eastAsia" w:ascii="Times New Roman" w:hAnsi="Times New Roman" w:eastAsia="宋体" w:cs="Times New Roman"/>
                <w:color w:val="000000"/>
                <w:sz w:val="24"/>
              </w:rPr>
              <w:t xml:space="preserve">分；满足项目需求的得3分；不满足或无此项内容的本项不得分。</w:t>
            </w:r>
            <w:r/>
          </w:p>
          <w:p>
            <w:pPr>
              <w:ind w:firstLine="480"/>
              <w:spacing w:line="400" w:lineRule="exact"/>
              <w:rPr>
                <w:rFonts w:ascii="Times New Roman" w:hAnsi="Times New Roman" w:eastAsia="宋体" w:cs="Times New Roman"/>
                <w:sz w:val="24"/>
              </w:rPr>
            </w:pPr>
            <w:r>
              <w:rPr>
                <w:rFonts w:hint="eastAsia" w:ascii="Times New Roman" w:hAnsi="Times New Roman" w:eastAsia="宋体" w:cs="Times New Roman"/>
                <w:color w:val="000000"/>
                <w:sz w:val="24"/>
              </w:rPr>
              <w:t xml:space="preserve">投标人提供的方案能全部响应要求，提出更为细致、有针对性、切实可行、要求之外且和本项目实施相关的内容的，可视为优于；方案能响应要求的可视为满足；方案内容生搬硬造、与实际情况不符、存在偏差，方案对于要求的响应不完全或者偏离要求的，视为不满足。具体由评审委员会评审。</w:t>
            </w:r>
            <w:r/>
          </w:p>
        </w:tc>
        <w:tc>
          <w:tcPr>
            <w:tcW w:w="877" w:type="dxa"/>
            <w:vAlign w:val="center"/>
            <w:textDirection w:val="lrTb"/>
            <w:noWrap w:val="false"/>
          </w:tcPr>
          <w:p>
            <w:pPr>
              <w:ind w:firstLine="0"/>
              <w:jc w:val="center"/>
              <w:spacing w:line="400" w:lineRule="exact"/>
              <w:rPr>
                <w:rFonts w:ascii="Times New Roman" w:hAnsi="Times New Roman" w:eastAsia="宋体" w:cs="Times New Roman"/>
                <w:sz w:val="24"/>
              </w:rPr>
            </w:pPr>
            <w:r>
              <w:rPr>
                <w:rFonts w:hint="eastAsia" w:ascii="Times New Roman" w:hAnsi="Times New Roman" w:eastAsia="宋体" w:cs="Times New Roman"/>
                <w:sz w:val="24"/>
              </w:rPr>
              <w:t xml:space="preserve">5</w:t>
            </w:r>
            <w:r/>
          </w:p>
        </w:tc>
      </w:tr>
      <w:tr>
        <w:trPr>
          <w:jc w:val="center"/>
          <w:trHeight w:val="90"/>
        </w:trPr>
        <w:tc>
          <w:tcPr>
            <w:tcW w:w="1465" w:type="dxa"/>
            <w:vAlign w:val="center"/>
            <w:textDirection w:val="lrTb"/>
            <w:noWrap w:val="false"/>
          </w:tcPr>
          <w:p>
            <w:pPr>
              <w:ind w:firstLine="0"/>
              <w:jc w:val="center"/>
              <w:spacing w:line="360" w:lineRule="auto"/>
              <w:rPr>
                <w:rFonts w:ascii="Times New Roman" w:hAnsi="Times New Roman" w:eastAsia="宋体" w:cs="Times New Roman"/>
                <w:sz w:val="24"/>
              </w:rPr>
            </w:pPr>
            <w:r>
              <w:rPr>
                <w:rFonts w:hint="eastAsia" w:ascii="Times New Roman" w:hAnsi="Times New Roman" w:eastAsia="宋体" w:cs="Times New Roman"/>
                <w:sz w:val="24"/>
                <w:lang w:eastAsia="zh-Hans"/>
              </w:rPr>
              <w:t xml:space="preserve">系统兼容性方案</w:t>
            </w:r>
            <w:r/>
          </w:p>
          <w:p>
            <w:pPr>
              <w:ind w:firstLine="0"/>
              <w:jc w:val="center"/>
              <w:spacing w:line="360" w:lineRule="auto"/>
              <w:rPr>
                <w:rFonts w:ascii="Times New Roman" w:hAnsi="Times New Roman" w:eastAsia="宋体" w:cs="Times New Roman"/>
                <w:sz w:val="24"/>
              </w:rPr>
            </w:pPr>
            <w:r>
              <w:rPr>
                <w:rFonts w:ascii="Times New Roman" w:hAnsi="Times New Roman" w:eastAsia="宋体" w:cs="Times New Roman"/>
                <w:sz w:val="24"/>
                <w:lang w:eastAsia="zh-Hans"/>
              </w:rPr>
              <w:t xml:space="preserve">（</w:t>
            </w:r>
            <w:r>
              <w:rPr>
                <w:rFonts w:hint="eastAsia" w:ascii="Times New Roman" w:hAnsi="Times New Roman" w:eastAsia="宋体" w:cs="Times New Roman"/>
                <w:sz w:val="24"/>
              </w:rPr>
              <w:t xml:space="preserve">5</w:t>
            </w:r>
            <w:r>
              <w:rPr>
                <w:rFonts w:ascii="Times New Roman" w:hAnsi="Times New Roman" w:eastAsia="宋体" w:cs="Times New Roman"/>
                <w:sz w:val="24"/>
                <w:lang w:eastAsia="zh-Hans"/>
              </w:rPr>
              <w:t xml:space="preserve">分</w:t>
            </w:r>
            <w:r>
              <w:rPr>
                <w:rFonts w:ascii="Times New Roman" w:hAnsi="Times New Roman" w:eastAsia="宋体" w:cs="Times New Roman"/>
              </w:rPr>
              <w:t xml:space="preserve">）</w:t>
            </w:r>
            <w:r/>
          </w:p>
          <w:p>
            <w:pPr>
              <w:ind w:firstLine="0"/>
              <w:jc w:val="center"/>
              <w:spacing w:line="360" w:lineRule="auto"/>
              <w:rPr>
                <w:rFonts w:ascii="Times New Roman" w:hAnsi="Times New Roman" w:eastAsia="宋体" w:cs="Times New Roman"/>
                <w:sz w:val="24"/>
                <w:lang w:eastAsia="zh-Hans"/>
              </w:rPr>
            </w:pPr>
            <w:r>
              <w:rPr>
                <w:rFonts w:ascii="Times New Roman" w:hAnsi="Times New Roman" w:eastAsia="宋体" w:cs="Times New Roman"/>
                <w:sz w:val="24"/>
                <w:lang w:eastAsia="zh-Hans"/>
              </w:rPr>
            </w:r>
            <w:r/>
          </w:p>
        </w:tc>
        <w:tc>
          <w:tcPr>
            <w:tcW w:w="7400" w:type="dxa"/>
            <w:vAlign w:val="center"/>
            <w:textDirection w:val="lrTb"/>
            <w:noWrap w:val="false"/>
          </w:tcPr>
          <w:p>
            <w:pPr>
              <w:ind w:firstLine="480"/>
              <w:spacing w:line="400" w:lineRule="exact"/>
              <w:rPr>
                <w:rFonts w:ascii="Times New Roman" w:hAnsi="Times New Roman" w:eastAsia="宋体" w:cs="Times New Roman"/>
                <w:color w:val="000000"/>
                <w:sz w:val="24"/>
              </w:rPr>
            </w:pPr>
            <w:r>
              <w:rPr>
                <w:rFonts w:hint="eastAsia" w:ascii="Times New Roman" w:hAnsi="Times New Roman" w:eastAsia="宋体" w:cs="Times New Roman"/>
                <w:sz w:val="24"/>
              </w:rPr>
              <w:t xml:space="preserve">投标人根据本项目第四章中“系统兼容性方案”要求，提供科学合理的系统兼容性方案，至少包含：</w:t>
            </w:r>
            <w:r>
              <w:rPr>
                <w:rFonts w:hint="eastAsia" w:ascii="Times New Roman" w:hAnsi="Times New Roman" w:eastAsia="宋体" w:cs="Times New Roman"/>
                <w:color w:val="000000"/>
                <w:sz w:val="24"/>
              </w:rPr>
              <w:t xml:space="preserve">①兼容性技术架构；</w:t>
            </w:r>
            <w:r>
              <w:rPr>
                <w:rFonts w:hint="eastAsia" w:ascii="Cambria Math" w:hAnsi="Cambria Math" w:eastAsia="宋体" w:cs="Cambria Math"/>
                <w:color w:val="000000"/>
                <w:sz w:val="24"/>
              </w:rPr>
              <w:t xml:space="preserve">②兼容协议和兼容接口设计</w:t>
            </w:r>
            <w:r>
              <w:rPr>
                <w:rFonts w:hint="eastAsia" w:ascii="Times New Roman" w:hAnsi="Times New Roman" w:eastAsia="宋体" w:cs="Times New Roman"/>
                <w:color w:val="000000"/>
                <w:sz w:val="24"/>
              </w:rPr>
              <w:t xml:space="preserve">等方面内容。注：方案优于项目需求的得5分；满足项目需求的得3分；不满足或无此项内容的本项不得分。</w:t>
            </w:r>
            <w:r/>
          </w:p>
          <w:p>
            <w:pPr>
              <w:ind w:firstLine="480"/>
              <w:spacing w:line="400" w:lineRule="exact"/>
              <w:rPr>
                <w:rFonts w:ascii="Times New Roman" w:hAnsi="Times New Roman" w:eastAsia="宋体" w:cs="Times New Roman"/>
                <w:sz w:val="24"/>
              </w:rPr>
            </w:pPr>
            <w:r>
              <w:rPr>
                <w:rFonts w:hint="eastAsia" w:ascii="Times New Roman" w:hAnsi="Times New Roman" w:eastAsia="宋体" w:cs="Times New Roman"/>
                <w:color w:val="000000"/>
                <w:sz w:val="24"/>
              </w:rPr>
              <w:t xml:space="preserve">投标人提供的方案能全部响应要求，提出更为细致、有针对性、切实可行、要求之外且和本项目实施相关的内容的，可视为优于；方案能响应要求的可视为满足；方案内容生搬硬造、与实际情况不符、存在偏差，方案对于要求的响应不完全或者偏离要求的，视为不满足。具体由评审委员会评审。</w:t>
            </w:r>
            <w:r/>
          </w:p>
        </w:tc>
        <w:tc>
          <w:tcPr>
            <w:tcW w:w="877" w:type="dxa"/>
            <w:vAlign w:val="center"/>
            <w:textDirection w:val="lrTb"/>
            <w:noWrap w:val="false"/>
          </w:tcPr>
          <w:p>
            <w:pPr>
              <w:ind w:firstLine="0"/>
              <w:jc w:val="center"/>
              <w:spacing w:line="400" w:lineRule="exact"/>
              <w:rPr>
                <w:rFonts w:ascii="Times New Roman" w:hAnsi="Times New Roman" w:eastAsia="宋体" w:cs="Times New Roman"/>
                <w:sz w:val="24"/>
              </w:rPr>
            </w:pPr>
            <w:r>
              <w:rPr>
                <w:rFonts w:hint="eastAsia" w:ascii="Times New Roman" w:hAnsi="Times New Roman" w:eastAsia="宋体" w:cs="Times New Roman"/>
                <w:sz w:val="24"/>
              </w:rPr>
              <w:t xml:space="preserve">5</w:t>
            </w:r>
            <w:r/>
          </w:p>
        </w:tc>
      </w:tr>
      <w:tr>
        <w:trPr>
          <w:jc w:val="center"/>
          <w:trHeight w:val="90"/>
        </w:trPr>
        <w:tc>
          <w:tcPr>
            <w:tcW w:w="1465" w:type="dxa"/>
            <w:vAlign w:val="center"/>
            <w:textDirection w:val="lrTb"/>
            <w:noWrap w:val="false"/>
          </w:tcPr>
          <w:p>
            <w:pPr>
              <w:ind w:firstLine="0"/>
              <w:jc w:val="center"/>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项目现场调试方案</w:t>
            </w:r>
            <w:r/>
          </w:p>
          <w:p>
            <w:pPr>
              <w:ind w:firstLine="0"/>
              <w:jc w:val="center"/>
              <w:spacing w:line="360" w:lineRule="auto"/>
              <w:rPr>
                <w:rFonts w:ascii="Times New Roman" w:hAnsi="Times New Roman" w:eastAsia="宋体" w:cs="Times New Roman"/>
                <w:sz w:val="24"/>
                <w:lang w:eastAsia="zh-Hans"/>
              </w:rPr>
            </w:pPr>
            <w:r>
              <w:rPr>
                <w:rFonts w:ascii="Times New Roman" w:hAnsi="Times New Roman" w:eastAsia="宋体" w:cs="Times New Roman"/>
                <w:sz w:val="24"/>
                <w:lang w:eastAsia="zh-Hans"/>
              </w:rPr>
              <w:t xml:space="preserve">（</w:t>
            </w:r>
            <w:r>
              <w:rPr>
                <w:rFonts w:hint="eastAsia" w:ascii="Times New Roman" w:hAnsi="Times New Roman" w:eastAsia="宋体" w:cs="Times New Roman"/>
                <w:sz w:val="24"/>
              </w:rPr>
              <w:t xml:space="preserve">4</w:t>
            </w:r>
            <w:r>
              <w:rPr>
                <w:rFonts w:ascii="Times New Roman" w:hAnsi="Times New Roman" w:eastAsia="宋体" w:cs="Times New Roman"/>
                <w:sz w:val="24"/>
                <w:lang w:eastAsia="zh-Hans"/>
              </w:rPr>
              <w:t xml:space="preserve">分</w:t>
            </w:r>
            <w:r>
              <w:rPr>
                <w:rFonts w:ascii="Times New Roman" w:hAnsi="Times New Roman" w:eastAsia="宋体" w:cs="Times New Roman"/>
              </w:rPr>
              <w:t xml:space="preserve">）</w:t>
            </w:r>
            <w:r/>
          </w:p>
        </w:tc>
        <w:tc>
          <w:tcPr>
            <w:tcW w:w="7400" w:type="dxa"/>
            <w:vAlign w:val="center"/>
            <w:textDirection w:val="lrTb"/>
            <w:noWrap w:val="false"/>
          </w:tcPr>
          <w:p>
            <w:pPr>
              <w:ind w:firstLine="480"/>
              <w:spacing w:line="400" w:lineRule="exact"/>
              <w:rPr>
                <w:rFonts w:ascii="Times New Roman" w:hAnsi="Times New Roman" w:eastAsia="宋体" w:cs="Times New Roman"/>
                <w:color w:val="000000"/>
                <w:sz w:val="24"/>
              </w:rPr>
            </w:pPr>
            <w:r>
              <w:rPr>
                <w:rFonts w:hint="eastAsia" w:ascii="Times New Roman" w:hAnsi="Times New Roman" w:eastAsia="宋体" w:cs="Times New Roman"/>
                <w:sz w:val="24"/>
              </w:rPr>
              <w:t xml:space="preserve">投标人根据本项目第四章中“项目现场调试方案”要求，提供科学合理的项目现场调试方案，至少包含：</w:t>
            </w:r>
            <w:r>
              <w:rPr>
                <w:rFonts w:hint="eastAsia" w:ascii="Cambria Math" w:hAnsi="Cambria Math" w:eastAsia="宋体" w:cs="Cambria Math"/>
                <w:color w:val="000000"/>
                <w:sz w:val="24"/>
              </w:rPr>
              <w:t xml:space="preserve">①</w:t>
            </w:r>
            <w:r>
              <w:rPr>
                <w:rFonts w:hint="eastAsia" w:ascii="宋体" w:hAnsi="宋体" w:eastAsia="宋体" w:cs="宋体"/>
                <w:sz w:val="24"/>
              </w:rPr>
              <w:t xml:space="preserve">软件调试</w:t>
            </w:r>
            <w:r>
              <w:rPr>
                <w:rFonts w:hint="eastAsia" w:ascii="Cambria Math" w:hAnsi="Cambria Math" w:eastAsia="宋体" w:cs="Cambria Math"/>
                <w:color w:val="000000"/>
                <w:sz w:val="24"/>
              </w:rPr>
              <w:t xml:space="preserve">；②</w:t>
            </w:r>
            <w:r>
              <w:rPr>
                <w:rFonts w:hint="eastAsia" w:ascii="宋体" w:hAnsi="宋体" w:eastAsia="宋体" w:cs="宋体"/>
                <w:sz w:val="24"/>
              </w:rPr>
              <w:t xml:space="preserve">硬件调试</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③</w:t>
            </w:r>
            <w:r>
              <w:rPr>
                <w:rFonts w:hint="eastAsia" w:ascii="宋体" w:hAnsi="宋体" w:eastAsia="宋体" w:cs="宋体"/>
                <w:sz w:val="24"/>
              </w:rPr>
              <w:t xml:space="preserve">联调方案</w:t>
            </w:r>
            <w:r>
              <w:rPr>
                <w:rFonts w:hint="eastAsia" w:ascii="Times New Roman" w:hAnsi="Times New Roman" w:eastAsia="宋体" w:cs="Times New Roman"/>
                <w:color w:val="000000"/>
                <w:sz w:val="24"/>
              </w:rPr>
              <w:t xml:space="preserve">等方面内容</w:t>
            </w:r>
            <w:r>
              <w:rPr>
                <w:rFonts w:hint="eastAsia" w:ascii="Times New Roman" w:hAnsi="Times New Roman" w:eastAsia="宋体" w:cs="Times New Roman"/>
                <w:sz w:val="24"/>
              </w:rPr>
              <w:t xml:space="preserve">。</w:t>
            </w:r>
            <w:r>
              <w:rPr>
                <w:rFonts w:hint="eastAsia" w:ascii="Times New Roman" w:hAnsi="Times New Roman" w:eastAsia="宋体" w:cs="Times New Roman"/>
                <w:color w:val="000000"/>
                <w:sz w:val="24"/>
              </w:rPr>
              <w:t xml:space="preserve">方案优于项目需求的得4分；满足项目需求的得2分；不满足或无此项内容的本项不得分。</w:t>
            </w:r>
            <w:r/>
          </w:p>
          <w:p>
            <w:pPr>
              <w:ind w:firstLine="480"/>
              <w:spacing w:line="400" w:lineRule="exact"/>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投标人提供的方案能全部响应要求，提出更为细致、有针对性、切实可行、要求之外且和本项目实施相关的内容的，可视为优于；方案能响应要求的可视为满足；方案内容生搬硬造、与实际情况不符、存在偏差，方案对于要求的响应不完全或者偏离要求的，视为不满足。具体由评审委员会评审。</w:t>
            </w:r>
            <w:r/>
          </w:p>
        </w:tc>
        <w:tc>
          <w:tcPr>
            <w:tcW w:w="877" w:type="dxa"/>
            <w:vAlign w:val="center"/>
            <w:textDirection w:val="lrTb"/>
            <w:noWrap w:val="false"/>
          </w:tcPr>
          <w:p>
            <w:pPr>
              <w:ind w:firstLine="0"/>
              <w:jc w:val="center"/>
              <w:spacing w:line="400" w:lineRule="exact"/>
              <w:rPr>
                <w:rFonts w:ascii="Times New Roman" w:hAnsi="Times New Roman" w:eastAsia="宋体" w:cs="Times New Roman"/>
                <w:sz w:val="24"/>
              </w:rPr>
            </w:pPr>
            <w:r>
              <w:rPr>
                <w:rFonts w:hint="eastAsia" w:ascii="Times New Roman" w:hAnsi="Times New Roman" w:eastAsia="宋体" w:cs="Times New Roman"/>
                <w:sz w:val="24"/>
              </w:rPr>
              <w:t xml:space="preserve">4</w:t>
            </w:r>
            <w:r/>
          </w:p>
        </w:tc>
      </w:tr>
      <w:tr>
        <w:trPr>
          <w:jc w:val="center"/>
          <w:trHeight w:val="90"/>
        </w:trPr>
        <w:tc>
          <w:tcPr>
            <w:tcW w:w="1465" w:type="dxa"/>
            <w:vAlign w:val="center"/>
            <w:textDirection w:val="lrTb"/>
            <w:noWrap w:val="false"/>
          </w:tcPr>
          <w:p>
            <w:pPr>
              <w:ind w:firstLine="0"/>
              <w:jc w:val="center"/>
              <w:spacing w:line="360" w:lineRule="auto"/>
              <w:rPr>
                <w:rFonts w:ascii="Times New Roman" w:hAnsi="Times New Roman" w:eastAsia="宋体" w:cs="Times New Roman"/>
                <w:sz w:val="24"/>
                <w:lang w:eastAsia="zh-Hans"/>
              </w:rPr>
            </w:pPr>
            <w:r>
              <w:rPr>
                <w:rFonts w:hint="eastAsia" w:ascii="Times New Roman" w:hAnsi="Times New Roman" w:eastAsia="宋体" w:cs="Times New Roman"/>
                <w:sz w:val="24"/>
                <w:lang w:eastAsia="zh-Hans"/>
              </w:rPr>
              <w:t xml:space="preserve">供货保证措施</w:t>
            </w:r>
            <w:r>
              <w:rPr>
                <w:rFonts w:ascii="Times New Roman" w:hAnsi="Times New Roman" w:eastAsia="宋体" w:cs="Times New Roman"/>
                <w:sz w:val="24"/>
                <w:lang w:eastAsia="zh-Hans"/>
              </w:rPr>
              <w:t xml:space="preserve">（</w:t>
            </w:r>
            <w:r>
              <w:rPr>
                <w:rFonts w:hint="eastAsia" w:ascii="Times New Roman" w:hAnsi="Times New Roman" w:eastAsia="宋体" w:cs="Times New Roman"/>
                <w:sz w:val="24"/>
              </w:rPr>
              <w:t xml:space="preserve">4</w:t>
            </w:r>
            <w:r>
              <w:rPr>
                <w:rFonts w:ascii="Times New Roman" w:hAnsi="Times New Roman" w:eastAsia="宋体" w:cs="Times New Roman"/>
                <w:sz w:val="24"/>
                <w:lang w:eastAsia="zh-Hans"/>
              </w:rPr>
              <w:t xml:space="preserve">分）</w:t>
            </w:r>
            <w:r/>
          </w:p>
        </w:tc>
        <w:tc>
          <w:tcPr>
            <w:tcW w:w="7400" w:type="dxa"/>
            <w:vAlign w:val="center"/>
            <w:textDirection w:val="lrTb"/>
            <w:noWrap w:val="false"/>
          </w:tcPr>
          <w:p>
            <w:pPr>
              <w:ind w:firstLine="480"/>
              <w:spacing w:line="400" w:lineRule="exact"/>
              <w:rPr>
                <w:rFonts w:ascii="Times New Roman" w:hAnsi="Times New Roman" w:eastAsia="宋体" w:cs="Times New Roman"/>
                <w:color w:val="000000"/>
                <w:sz w:val="24"/>
              </w:rPr>
            </w:pPr>
            <w:r>
              <w:rPr>
                <w:rFonts w:hint="eastAsia" w:ascii="Times New Roman" w:hAnsi="Times New Roman" w:eastAsia="宋体" w:cs="Times New Roman"/>
                <w:sz w:val="24"/>
              </w:rPr>
              <w:t xml:space="preserve">投标人根据本项目第四章中“</w:t>
            </w:r>
            <w:r>
              <w:rPr>
                <w:rFonts w:hint="eastAsia" w:ascii="Times New Roman" w:hAnsi="Times New Roman" w:eastAsia="宋体" w:cs="Times New Roman"/>
                <w:sz w:val="24"/>
                <w:lang w:eastAsia="zh-Hans"/>
              </w:rPr>
              <w:t xml:space="preserve">供货保证措施</w:t>
            </w:r>
            <w:r>
              <w:rPr>
                <w:rFonts w:hint="eastAsia" w:ascii="Times New Roman" w:hAnsi="Times New Roman" w:eastAsia="宋体" w:cs="Times New Roman"/>
                <w:sz w:val="24"/>
              </w:rPr>
              <w:t xml:space="preserve">”要求，提供科学合理的</w:t>
            </w:r>
            <w:r>
              <w:rPr>
                <w:rFonts w:hint="eastAsia" w:ascii="Times New Roman" w:hAnsi="Times New Roman" w:eastAsia="宋体" w:cs="Times New Roman"/>
                <w:sz w:val="24"/>
                <w:lang w:eastAsia="zh-Hans"/>
              </w:rPr>
              <w:t xml:space="preserve">供货保证措施</w:t>
            </w:r>
            <w:r>
              <w:rPr>
                <w:rFonts w:hint="eastAsia" w:ascii="Times New Roman" w:hAnsi="Times New Roman" w:eastAsia="宋体" w:cs="Times New Roman"/>
                <w:sz w:val="24"/>
              </w:rPr>
              <w:t xml:space="preserve">，至少包含：</w:t>
            </w:r>
            <w:r>
              <w:rPr>
                <w:rFonts w:hint="eastAsia" w:ascii="Cambria Math" w:hAnsi="Cambria Math" w:eastAsia="宋体" w:cs="Cambria Math"/>
                <w:color w:val="000000"/>
                <w:sz w:val="24"/>
              </w:rPr>
              <w:t xml:space="preserve">①质量保证目标；②质量保证措施；③工期进度计划等方面内容。</w:t>
            </w:r>
            <w:r>
              <w:rPr>
                <w:rFonts w:hint="eastAsia" w:ascii="Times New Roman" w:hAnsi="Times New Roman" w:eastAsia="宋体" w:cs="Times New Roman"/>
                <w:color w:val="000000"/>
                <w:sz w:val="24"/>
              </w:rPr>
              <w:t xml:space="preserve">方案优于项目需求的得4分；满足项目需求的得2分；不满足或无此项内容的本项不得分。</w:t>
            </w:r>
            <w:r/>
          </w:p>
          <w:p>
            <w:pPr>
              <w:ind w:firstLine="480"/>
              <w:spacing w:line="400" w:lineRule="exact"/>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投标人提供的方案能全部响应要求，提出更为细致、有针对性、切实可行、要求之外且和本项目实施相关的内容的，可视为优于；方案能响应要求的可视为满足；方案内容生搬硬造、与实际情况不符、存在偏差，方案对于要求的响应不完全或者偏离要求的，视为不满足。具体由评审委员会评审。</w:t>
            </w:r>
            <w:r/>
          </w:p>
        </w:tc>
        <w:tc>
          <w:tcPr>
            <w:tcW w:w="877" w:type="dxa"/>
            <w:vAlign w:val="center"/>
            <w:textDirection w:val="lrTb"/>
            <w:noWrap w:val="false"/>
          </w:tcPr>
          <w:p>
            <w:pPr>
              <w:ind w:firstLine="0"/>
              <w:jc w:val="center"/>
              <w:spacing w:line="400" w:lineRule="exact"/>
              <w:rPr>
                <w:rFonts w:ascii="Times New Roman" w:hAnsi="Times New Roman" w:eastAsia="宋体" w:cs="Times New Roman"/>
                <w:sz w:val="24"/>
              </w:rPr>
            </w:pPr>
            <w:r>
              <w:rPr>
                <w:rFonts w:hint="eastAsia" w:ascii="Times New Roman" w:hAnsi="Times New Roman" w:eastAsia="宋体" w:cs="Times New Roman"/>
                <w:sz w:val="24"/>
              </w:rPr>
              <w:t xml:space="preserve">4</w:t>
            </w:r>
            <w:r/>
          </w:p>
        </w:tc>
      </w:tr>
      <w:tr>
        <w:trPr>
          <w:jc w:val="center"/>
          <w:trHeight w:val="90"/>
        </w:trPr>
        <w:tc>
          <w:tcPr>
            <w:tcW w:w="1465" w:type="dxa"/>
            <w:vAlign w:val="center"/>
            <w:textDirection w:val="lrTb"/>
            <w:noWrap w:val="false"/>
          </w:tcPr>
          <w:p>
            <w:pPr>
              <w:ind w:firstLine="0"/>
              <w:jc w:val="center"/>
              <w:spacing w:line="400" w:lineRule="exact"/>
              <w:rPr>
                <w:rFonts w:ascii="Times New Roman" w:hAnsi="Times New Roman" w:eastAsia="宋体" w:cs="Times New Roman"/>
              </w:rPr>
            </w:pPr>
            <w:r>
              <w:rPr>
                <w:rFonts w:hint="eastAsia" w:ascii="Times New Roman" w:hAnsi="Times New Roman" w:eastAsia="宋体" w:cs="Times New Roman"/>
                <w:sz w:val="24"/>
                <w:lang w:eastAsia="zh-Hans"/>
              </w:rPr>
              <w:t xml:space="preserve">项目培训与</w:t>
            </w:r>
            <w:r>
              <w:rPr>
                <w:rFonts w:ascii="Times New Roman" w:hAnsi="Times New Roman" w:eastAsia="宋体" w:cs="Times New Roman"/>
                <w:sz w:val="24"/>
                <w:lang w:eastAsia="zh-Hans"/>
              </w:rPr>
              <w:t xml:space="preserve">售后服务方案（</w:t>
            </w:r>
            <w:r>
              <w:rPr>
                <w:rFonts w:hint="eastAsia" w:ascii="Times New Roman" w:hAnsi="Times New Roman" w:eastAsia="宋体" w:cs="Times New Roman"/>
                <w:sz w:val="24"/>
              </w:rPr>
              <w:t xml:space="preserve">4</w:t>
            </w:r>
            <w:r>
              <w:rPr>
                <w:rFonts w:ascii="Times New Roman" w:hAnsi="Times New Roman" w:eastAsia="宋体" w:cs="Times New Roman"/>
                <w:sz w:val="24"/>
                <w:lang w:eastAsia="zh-Hans"/>
              </w:rPr>
              <w:t xml:space="preserve">分）</w:t>
            </w:r>
            <w:r/>
          </w:p>
        </w:tc>
        <w:tc>
          <w:tcPr>
            <w:tcW w:w="7400" w:type="dxa"/>
            <w:vAlign w:val="center"/>
            <w:textDirection w:val="lrTb"/>
            <w:noWrap w:val="false"/>
          </w:tcPr>
          <w:p>
            <w:pPr>
              <w:ind w:firstLine="480"/>
              <w:spacing w:line="400" w:lineRule="exact"/>
              <w:rPr>
                <w:rFonts w:ascii="Times New Roman" w:hAnsi="Times New Roman" w:eastAsia="宋体" w:cs="Times New Roman"/>
                <w:color w:val="000000"/>
                <w:sz w:val="24"/>
              </w:rPr>
            </w:pPr>
            <w:r>
              <w:rPr>
                <w:rFonts w:hint="eastAsia" w:ascii="Times New Roman" w:hAnsi="Times New Roman" w:eastAsia="宋体" w:cs="Times New Roman"/>
                <w:sz w:val="24"/>
              </w:rPr>
              <w:t xml:space="preserve">投标人根据本项目第四章中“</w:t>
            </w:r>
            <w:r>
              <w:rPr>
                <w:rFonts w:hint="eastAsia" w:ascii="Times New Roman" w:hAnsi="Times New Roman" w:eastAsia="宋体" w:cs="Times New Roman"/>
                <w:sz w:val="24"/>
                <w:lang w:eastAsia="zh-Hans"/>
              </w:rPr>
              <w:t xml:space="preserve">项目培训与</w:t>
            </w:r>
            <w:r>
              <w:rPr>
                <w:rFonts w:ascii="Times New Roman" w:hAnsi="Times New Roman" w:eastAsia="宋体" w:cs="Times New Roman"/>
                <w:sz w:val="24"/>
                <w:lang w:eastAsia="zh-Hans"/>
              </w:rPr>
              <w:t xml:space="preserve">售后服务方案</w:t>
            </w:r>
            <w:r>
              <w:rPr>
                <w:rFonts w:hint="eastAsia" w:ascii="Times New Roman" w:hAnsi="Times New Roman" w:eastAsia="宋体" w:cs="Times New Roman"/>
                <w:sz w:val="24"/>
              </w:rPr>
              <w:t xml:space="preserve">”要求，提供科学合理的</w:t>
            </w:r>
            <w:r>
              <w:rPr>
                <w:rFonts w:hint="eastAsia" w:ascii="Times New Roman" w:hAnsi="Times New Roman" w:eastAsia="宋体" w:cs="Times New Roman"/>
                <w:sz w:val="24"/>
                <w:lang w:eastAsia="zh-Hans"/>
              </w:rPr>
              <w:t xml:space="preserve">项目培训与</w:t>
            </w:r>
            <w:r>
              <w:rPr>
                <w:rFonts w:ascii="Times New Roman" w:hAnsi="Times New Roman" w:eastAsia="宋体" w:cs="Times New Roman"/>
                <w:sz w:val="24"/>
                <w:lang w:eastAsia="zh-Hans"/>
              </w:rPr>
              <w:t xml:space="preserve">售后服务方案</w:t>
            </w:r>
            <w:r>
              <w:rPr>
                <w:rFonts w:hint="eastAsia" w:ascii="Times New Roman" w:hAnsi="Times New Roman" w:eastAsia="宋体" w:cs="Times New Roman"/>
                <w:sz w:val="24"/>
              </w:rPr>
              <w:t xml:space="preserve">，至少包含：</w:t>
            </w:r>
            <w:r>
              <w:rPr>
                <w:rFonts w:hint="eastAsia" w:ascii="宋体" w:hAnsi="宋体" w:eastAsia="宋体" w:cs="宋体"/>
                <w:sz w:val="24"/>
              </w:rPr>
              <w:t xml:space="preserve">①</w:t>
            </w:r>
            <w:r>
              <w:rPr>
                <w:rFonts w:hint="eastAsia" w:ascii="Times New Roman" w:hAnsi="Times New Roman" w:eastAsia="宋体" w:cs="Times New Roman"/>
                <w:color w:val="000000" w:themeColor="text1"/>
                <w:sz w:val="24"/>
                <w14:textFill>
                  <w14:solidFill>
                    <w14:schemeClr w14:val="tx1"/>
                  </w14:solidFill>
                </w14:textFill>
              </w:rPr>
              <w:t xml:space="preserve">售后服务响应与承诺</w:t>
            </w:r>
            <w:r>
              <w:rPr>
                <w:rFonts w:hint="eastAsia" w:ascii="Cambria Math" w:hAnsi="Cambria Math" w:eastAsia="宋体" w:cs="Cambria Math"/>
                <w:color w:val="000000"/>
                <w:sz w:val="24"/>
              </w:rPr>
              <w:t xml:space="preserve">；</w:t>
            </w:r>
            <w:r>
              <w:rPr>
                <w:rFonts w:hint="eastAsia" w:ascii="Times New Roman" w:hAnsi="Times New Roman" w:eastAsia="宋体" w:cs="Times New Roman"/>
                <w:color w:val="000000" w:themeColor="text1"/>
                <w:sz w:val="24"/>
                <w14:textFill>
                  <w14:solidFill>
                    <w14:schemeClr w14:val="tx1"/>
                  </w14:solidFill>
                </w14:textFill>
              </w:rPr>
              <w:t xml:space="preserve">②</w:t>
            </w:r>
            <w:r>
              <w:rPr>
                <w:rFonts w:hint="eastAsia" w:cs="Times New Roman"/>
                <w:sz w:val="24"/>
              </w:rPr>
              <w:t xml:space="preserve">售后服务组织与流程</w:t>
            </w:r>
            <w:r>
              <w:rPr>
                <w:rFonts w:hint="eastAsia" w:ascii="Cambria Math" w:hAnsi="Cambria Math" w:eastAsia="宋体" w:cs="Cambria Math"/>
                <w:color w:val="000000"/>
                <w:sz w:val="24"/>
              </w:rPr>
              <w:t xml:space="preserve">；</w:t>
            </w:r>
            <w:r>
              <w:rPr>
                <w:rFonts w:hint="eastAsia" w:ascii="Times New Roman" w:hAnsi="Times New Roman" w:eastAsia="宋体" w:cs="Times New Roman"/>
                <w:color w:val="000000" w:themeColor="text1"/>
                <w:sz w:val="24"/>
                <w14:textFill>
                  <w14:solidFill>
                    <w14:schemeClr w14:val="tx1"/>
                  </w14:solidFill>
                </w14:textFill>
              </w:rPr>
              <w:t xml:space="preserve">③</w:t>
            </w:r>
            <w:r>
              <w:rPr>
                <w:rFonts w:hint="eastAsia" w:ascii="宋体" w:hAnsi="宋体" w:cs="Courier New"/>
                <w:bCs/>
                <w:sz w:val="24"/>
              </w:rPr>
              <w:t xml:space="preserve">培训计划</w:t>
            </w:r>
            <w:r>
              <w:rPr>
                <w:rFonts w:hint="eastAsia" w:ascii="宋体" w:hAnsi="宋体" w:cs="Courier New"/>
                <w:bCs/>
                <w:sz w:val="24"/>
                <w:lang w:eastAsia="zh-CN"/>
              </w:rPr>
              <w:t xml:space="preserve">；</w:t>
            </w:r>
            <w:r>
              <w:rPr>
                <w:rFonts w:hint="eastAsia" w:ascii="宋体" w:hAnsi="宋体" w:cs="Courier New"/>
                <w:bCs/>
                <w:sz w:val="24"/>
                <w:lang w:val="en-US" w:eastAsia="zh-CN"/>
              </w:rPr>
              <w:t xml:space="preserve">④</w:t>
            </w:r>
            <w:r>
              <w:rPr>
                <w:rFonts w:hint="eastAsia" w:ascii="宋体" w:hAnsi="宋体" w:eastAsia="宋体" w:cs="宋体"/>
                <w:sz w:val="24"/>
              </w:rPr>
              <w:t xml:space="preserve">系统维护服务</w:t>
            </w:r>
            <w:r>
              <w:rPr>
                <w:rFonts w:hint="eastAsia" w:ascii="Times New Roman" w:hAnsi="Times New Roman" w:eastAsia="宋体" w:cs="Times New Roman"/>
                <w:color w:val="000000"/>
                <w:sz w:val="24"/>
              </w:rPr>
              <w:t xml:space="preserve">等方面内容</w:t>
            </w:r>
            <w:r>
              <w:rPr>
                <w:rFonts w:hint="eastAsia" w:ascii="Times New Roman" w:hAnsi="Times New Roman" w:eastAsia="宋体" w:cs="Times New Roman"/>
                <w:color w:val="000000" w:themeColor="text1"/>
                <w:sz w:val="24"/>
                <w14:textFill>
                  <w14:solidFill>
                    <w14:schemeClr w14:val="tx1"/>
                  </w14:solidFill>
                </w14:textFill>
              </w:rPr>
              <w:t xml:space="preserve">。</w:t>
            </w:r>
            <w:r>
              <w:rPr>
                <w:rFonts w:hint="eastAsia" w:ascii="Times New Roman" w:hAnsi="Times New Roman" w:eastAsia="宋体" w:cs="Times New Roman"/>
                <w:color w:val="000000"/>
                <w:sz w:val="24"/>
              </w:rPr>
              <w:t xml:space="preserve">方案优于项目需求的得4分；满足项目需求的得2分；不满足或无此项内容的本项不得分。</w:t>
            </w:r>
            <w:r/>
          </w:p>
          <w:p>
            <w:pPr>
              <w:ind w:firstLine="480"/>
              <w:jc w:val="left"/>
              <w:spacing w:line="400" w:lineRule="exact"/>
              <w:rPr>
                <w:rFonts w:ascii="Times New Roman" w:hAnsi="Times New Roman" w:eastAsia="宋体" w:cs="Times New Roman"/>
                <w:color w:val="000000" w:themeColor="text1"/>
                <w:sz w:val="24"/>
                <w14:textFill>
                  <w14:solidFill>
                    <w14:schemeClr w14:val="tx1"/>
                  </w14:solidFill>
                </w14:textFill>
              </w:rPr>
            </w:pPr>
            <w:r>
              <w:rPr>
                <w:rFonts w:hint="eastAsia" w:ascii="Times New Roman" w:hAnsi="Times New Roman" w:eastAsia="宋体" w:cs="Times New Roman"/>
                <w:color w:val="000000"/>
                <w:sz w:val="24"/>
              </w:rPr>
              <w:t xml:space="preserve">投标人提供的方案能全部响应要求，提出更为细致、有针对性、切实可行、要求之外且和本项目实施相关的内容的，可视为优于；方案能响应要求的可视为满足；方案内容生搬硬造、与实际情况不符、存在偏差，方案对于要求的响应不完全或者偏离要求的，视为不满足。具体由评审委员会评审。</w:t>
            </w:r>
            <w:r/>
          </w:p>
        </w:tc>
        <w:tc>
          <w:tcPr>
            <w:tcW w:w="877" w:type="dxa"/>
            <w:vAlign w:val="center"/>
            <w:textDirection w:val="lrTb"/>
            <w:noWrap w:val="false"/>
          </w:tcPr>
          <w:p>
            <w:pPr>
              <w:ind w:firstLine="0"/>
              <w:jc w:val="center"/>
              <w:spacing w:line="400" w:lineRule="exact"/>
              <w:rPr>
                <w:rFonts w:ascii="Times New Roman" w:hAnsi="Times New Roman" w:eastAsia="宋体" w:cs="Times New Roman"/>
                <w:sz w:val="24"/>
              </w:rPr>
            </w:pPr>
            <w:r>
              <w:rPr>
                <w:rFonts w:hint="eastAsia" w:ascii="Times New Roman" w:hAnsi="Times New Roman" w:eastAsia="宋体" w:cs="Times New Roman"/>
                <w:sz w:val="24"/>
              </w:rPr>
              <w:t xml:space="preserve">4</w:t>
            </w:r>
            <w:r/>
          </w:p>
        </w:tc>
      </w:tr>
      <w:tr>
        <w:trPr>
          <w:jc w:val="center"/>
          <w:trHeight w:val="90"/>
        </w:trPr>
        <w:tc>
          <w:tcPr>
            <w:tcW w:w="1465" w:type="dxa"/>
            <w:vAlign w:val="center"/>
            <w:textDirection w:val="lrTb"/>
            <w:noWrap w:val="false"/>
          </w:tcPr>
          <w:p>
            <w:pPr>
              <w:ind w:firstLine="0"/>
              <w:jc w:val="center"/>
              <w:spacing w:line="400" w:lineRule="exact"/>
              <w:rPr>
                <w:rFonts w:ascii="Times New Roman" w:hAnsi="Times New Roman" w:eastAsia="宋体" w:cs="Times New Roman"/>
                <w:sz w:val="24"/>
              </w:rPr>
            </w:pPr>
            <w:r>
              <w:rPr>
                <w:rFonts w:hint="eastAsia" w:ascii="Times New Roman" w:hAnsi="Times New Roman" w:eastAsia="宋体" w:cs="Times New Roman"/>
                <w:sz w:val="24"/>
                <w:lang w:eastAsia="zh-Hans"/>
              </w:rPr>
              <w:t xml:space="preserve">视频演示</w:t>
            </w:r>
            <w:r>
              <w:rPr>
                <w:rFonts w:hint="eastAsia" w:ascii="Times New Roman" w:hAnsi="Times New Roman" w:eastAsia="宋体" w:cs="Times New Roman"/>
                <w:sz w:val="24"/>
              </w:rPr>
              <w:t xml:space="preserve">1</w:t>
            </w:r>
            <w:r/>
          </w:p>
          <w:p>
            <w:pPr>
              <w:ind w:firstLine="0"/>
              <w:jc w:val="center"/>
              <w:spacing w:line="400" w:lineRule="exact"/>
              <w:rPr>
                <w:rFonts w:ascii="Times New Roman" w:hAnsi="Times New Roman" w:eastAsia="宋体" w:cs="Times New Roman"/>
                <w:sz w:val="24"/>
                <w:lang w:eastAsia="zh-Hans"/>
              </w:rPr>
            </w:pPr>
            <w:r>
              <w:rPr>
                <w:rFonts w:ascii="Times New Roman" w:hAnsi="Times New Roman" w:eastAsia="宋体" w:cs="Times New Roman"/>
                <w:sz w:val="24"/>
                <w:lang w:eastAsia="zh-Hans"/>
              </w:rPr>
              <w:t xml:space="preserve">（</w:t>
            </w:r>
            <w:r>
              <w:rPr>
                <w:rFonts w:hint="eastAsia" w:ascii="Times New Roman" w:hAnsi="Times New Roman" w:eastAsia="宋体" w:cs="Times New Roman"/>
                <w:sz w:val="24"/>
              </w:rPr>
              <w:t xml:space="preserve">6</w:t>
            </w:r>
            <w:r>
              <w:rPr>
                <w:rFonts w:ascii="Times New Roman" w:hAnsi="Times New Roman" w:eastAsia="宋体" w:cs="Times New Roman"/>
                <w:sz w:val="24"/>
                <w:lang w:eastAsia="zh-Hans"/>
              </w:rPr>
              <w:t xml:space="preserve">分）</w:t>
            </w:r>
            <w:r/>
          </w:p>
        </w:tc>
        <w:tc>
          <w:tcPr>
            <w:tcW w:w="7400" w:type="dxa"/>
            <w:vAlign w:val="center"/>
            <w:textDirection w:val="lrTb"/>
            <w:noWrap w:val="false"/>
          </w:tcPr>
          <w:p>
            <w:pPr>
              <w:ind w:firstLine="480"/>
              <w:spacing w:line="400" w:lineRule="exact"/>
              <w:rPr>
                <w:rFonts w:hint="eastAsia" w:ascii="Cambria Math" w:hAnsi="Cambria Math" w:eastAsia="宋体" w:cs="Cambria Math"/>
                <w:color w:val="000000"/>
                <w:sz w:val="24"/>
              </w:rPr>
            </w:pPr>
            <w:r>
              <w:rPr>
                <w:rFonts w:hint="eastAsia" w:ascii="Cambria Math" w:hAnsi="Cambria Math" w:eastAsia="宋体" w:cs="Cambria Math"/>
                <w:color w:val="000000"/>
                <w:sz w:val="24"/>
              </w:rPr>
              <w:t xml:space="preserve">投标人应根据采购需求及项目实际情况，对第四章“技术参数要求”中“展柜恒湿机（小型）”的★号参数提供功能演示，具体演示内容如下：</w:t>
            </w:r>
            <w:r/>
          </w:p>
          <w:p>
            <w:pPr>
              <w:ind w:firstLine="480"/>
              <w:spacing w:line="400" w:lineRule="exact"/>
              <w:rPr>
                <w:rFonts w:ascii="Times New Roman" w:hAnsi="Times New Roman" w:eastAsia="宋体" w:cs="Times New Roman"/>
                <w:color w:val="000000"/>
                <w:sz w:val="24"/>
              </w:rPr>
            </w:pPr>
            <w:r>
              <w:rPr>
                <w:rFonts w:hint="eastAsia" w:ascii="Cambria Math" w:hAnsi="Cambria Math" w:eastAsia="宋体" w:cs="Cambria Math"/>
                <w:color w:val="000000"/>
                <w:sz w:val="24"/>
              </w:rPr>
              <w:t xml:space="preserve">①</w:t>
            </w:r>
            <w:r>
              <w:rPr>
                <w:rFonts w:hint="eastAsia" w:ascii="Times New Roman" w:hAnsi="Times New Roman" w:eastAsia="宋体" w:cs="Times New Roman"/>
                <w:color w:val="000000"/>
                <w:sz w:val="24"/>
              </w:rPr>
              <w:t xml:space="preserve">演示一二三级告警功能</w:t>
            </w:r>
            <w:r/>
          </w:p>
          <w:p>
            <w:pPr>
              <w:ind w:firstLine="480"/>
              <w:spacing w:line="400" w:lineRule="exact"/>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演示要求：设备的温湿度传感器探头监测湿度超过当前设定的湿度告警阈值，设备屏幕显示一级告警；设备已接入的光照传感器探头与设备断开连接后，设备屏幕显示二级告警；设备已接入的温湿度传感器探头与设备断开连接后，设备屏幕显示三级告警。</w:t>
            </w:r>
            <w:r/>
          </w:p>
          <w:p>
            <w:pPr>
              <w:ind w:firstLine="480"/>
              <w:spacing w:line="400" w:lineRule="exact"/>
              <w:rPr>
                <w:rFonts w:ascii="Times New Roman" w:hAnsi="Times New Roman" w:eastAsia="宋体" w:cs="Times New Roman"/>
                <w:color w:val="000000"/>
                <w:sz w:val="24"/>
              </w:rPr>
            </w:pPr>
            <w:r>
              <w:rPr>
                <w:rFonts w:hint="eastAsia" w:ascii="Cambria Math" w:hAnsi="Cambria Math" w:eastAsia="宋体" w:cs="Cambria Math"/>
                <w:color w:val="000000"/>
                <w:sz w:val="24"/>
              </w:rPr>
              <w:t xml:space="preserve">②</w:t>
            </w:r>
            <w:r>
              <w:rPr>
                <w:rFonts w:hint="eastAsia" w:ascii="Times New Roman" w:hAnsi="Times New Roman" w:eastAsia="宋体" w:cs="Times New Roman"/>
                <w:color w:val="000000"/>
                <w:sz w:val="24"/>
              </w:rPr>
              <w:t xml:space="preserve">演示三级告警时自动停机功能</w:t>
            </w:r>
            <w:r/>
          </w:p>
          <w:p>
            <w:pPr>
              <w:ind w:firstLine="480"/>
              <w:spacing w:line="400" w:lineRule="exact"/>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演示要求：设备运行中，触发三级告警，设备屏幕显示停机。</w:t>
            </w:r>
            <w:r/>
          </w:p>
          <w:p>
            <w:pPr>
              <w:ind w:firstLine="480"/>
              <w:spacing w:line="400" w:lineRule="exact"/>
              <w:rPr>
                <w:rFonts w:ascii="Times New Roman" w:hAnsi="Times New Roman" w:eastAsia="宋体" w:cs="Times New Roman"/>
                <w:color w:val="000000"/>
                <w:sz w:val="24"/>
              </w:rPr>
            </w:pPr>
            <w:r>
              <w:rPr>
                <w:rFonts w:hint="eastAsia" w:ascii="Cambria Math" w:hAnsi="Cambria Math" w:eastAsia="宋体" w:cs="Cambria Math"/>
                <w:color w:val="000000"/>
                <w:sz w:val="24"/>
              </w:rPr>
              <w:t xml:space="preserve">③</w:t>
            </w:r>
            <w:r>
              <w:rPr>
                <w:rFonts w:hint="eastAsia" w:ascii="Times New Roman" w:hAnsi="Times New Roman" w:eastAsia="宋体" w:cs="Times New Roman"/>
                <w:color w:val="000000"/>
                <w:sz w:val="24"/>
              </w:rPr>
              <w:t xml:space="preserve">演示检修模式</w:t>
            </w:r>
            <w:r/>
          </w:p>
          <w:p>
            <w:pPr>
              <w:ind w:firstLine="480"/>
              <w:spacing w:line="400" w:lineRule="exact"/>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演示要求：操作设备本地触摸屏，进入检修模式，检修模式下，设备屏幕展示各部件的工作状态。</w:t>
            </w:r>
            <w:r/>
          </w:p>
          <w:p>
            <w:pPr>
              <w:ind w:firstLine="480"/>
              <w:spacing w:line="400" w:lineRule="exact"/>
              <w:rPr>
                <w:rFonts w:ascii="Times New Roman" w:hAnsi="Times New Roman" w:eastAsia="宋体" w:cs="Times New Roman"/>
                <w:color w:val="000000" w:themeColor="text1"/>
                <w:sz w:val="24"/>
                <w14:textFill>
                  <w14:solidFill>
                    <w14:schemeClr w14:val="tx1"/>
                  </w14:solidFill>
                </w14:textFill>
              </w:rPr>
            </w:pPr>
            <w:r>
              <w:rPr>
                <w:rFonts w:hint="eastAsia" w:ascii="Times New Roman" w:hAnsi="Times New Roman" w:eastAsia="宋体" w:cs="Times New Roman"/>
                <w:color w:val="000000"/>
                <w:sz w:val="24"/>
              </w:rPr>
              <w:t xml:space="preserve">评委根据上传的演示视频进行评分：每成功演示一项功能得2分，三项功能全部成功演示得6分。单项功能未成功演示或未演示的，该功能项不得分。</w:t>
            </w:r>
            <w:r/>
          </w:p>
        </w:tc>
        <w:tc>
          <w:tcPr>
            <w:tcW w:w="877" w:type="dxa"/>
            <w:vAlign w:val="center"/>
            <w:textDirection w:val="lrTb"/>
            <w:noWrap w:val="false"/>
          </w:tcPr>
          <w:p>
            <w:pPr>
              <w:ind w:firstLine="0"/>
              <w:jc w:val="center"/>
              <w:spacing w:line="400" w:lineRule="exact"/>
              <w:rPr>
                <w:rFonts w:ascii="Times New Roman" w:hAnsi="Times New Roman" w:eastAsia="宋体" w:cs="Times New Roman"/>
                <w:sz w:val="24"/>
              </w:rPr>
            </w:pPr>
            <w:r>
              <w:rPr>
                <w:rFonts w:hint="eastAsia" w:ascii="Times New Roman" w:hAnsi="Times New Roman" w:eastAsia="宋体" w:cs="Times New Roman"/>
                <w:sz w:val="24"/>
              </w:rPr>
              <w:t xml:space="preserve">6</w:t>
            </w:r>
            <w:r/>
          </w:p>
        </w:tc>
      </w:tr>
      <w:tr>
        <w:trPr>
          <w:jc w:val="center"/>
          <w:trHeight w:val="90"/>
        </w:trPr>
        <w:tc>
          <w:tcPr>
            <w:tcW w:w="1465" w:type="dxa"/>
            <w:vAlign w:val="center"/>
            <w:textDirection w:val="lrTb"/>
            <w:noWrap w:val="false"/>
          </w:tcPr>
          <w:p>
            <w:pPr>
              <w:ind w:firstLine="0"/>
              <w:jc w:val="center"/>
              <w:spacing w:line="400" w:lineRule="exact"/>
              <w:rPr>
                <w:rFonts w:ascii="Times New Roman" w:hAnsi="Times New Roman" w:eastAsia="宋体" w:cs="Times New Roman"/>
                <w:sz w:val="24"/>
              </w:rPr>
            </w:pPr>
            <w:r>
              <w:rPr>
                <w:rFonts w:hint="eastAsia" w:ascii="Times New Roman" w:hAnsi="Times New Roman" w:eastAsia="宋体" w:cs="Times New Roman"/>
                <w:sz w:val="24"/>
                <w:lang w:eastAsia="zh-Hans"/>
              </w:rPr>
              <w:t xml:space="preserve">视频演示</w:t>
            </w:r>
            <w:r>
              <w:rPr>
                <w:rFonts w:hint="eastAsia" w:ascii="Times New Roman" w:hAnsi="Times New Roman" w:eastAsia="宋体" w:cs="Times New Roman"/>
                <w:sz w:val="24"/>
              </w:rPr>
              <w:t xml:space="preserve">2</w:t>
            </w:r>
            <w:r/>
          </w:p>
          <w:p>
            <w:pPr>
              <w:ind w:firstLine="0"/>
              <w:jc w:val="center"/>
              <w:spacing w:line="400" w:lineRule="exact"/>
              <w:rPr>
                <w:rFonts w:ascii="Times New Roman" w:hAnsi="Times New Roman" w:eastAsia="宋体" w:cs="Times New Roman"/>
                <w:sz w:val="24"/>
                <w:lang w:eastAsia="zh-Hans"/>
              </w:rPr>
            </w:pPr>
            <w:r>
              <w:rPr>
                <w:rFonts w:ascii="Times New Roman" w:hAnsi="Times New Roman" w:eastAsia="宋体" w:cs="Times New Roman"/>
                <w:sz w:val="24"/>
                <w:lang w:eastAsia="zh-Hans"/>
              </w:rPr>
              <w:t xml:space="preserve">（</w:t>
            </w:r>
            <w:r>
              <w:rPr>
                <w:rFonts w:hint="eastAsia" w:ascii="Times New Roman" w:hAnsi="Times New Roman" w:eastAsia="宋体" w:cs="Times New Roman"/>
                <w:sz w:val="24"/>
              </w:rPr>
              <w:t xml:space="preserve">8</w:t>
            </w:r>
            <w:r>
              <w:rPr>
                <w:rFonts w:ascii="Times New Roman" w:hAnsi="Times New Roman" w:eastAsia="宋体" w:cs="Times New Roman"/>
                <w:sz w:val="24"/>
                <w:lang w:eastAsia="zh-Hans"/>
              </w:rPr>
              <w:t xml:space="preserve">分）</w:t>
            </w:r>
            <w:r/>
          </w:p>
        </w:tc>
        <w:tc>
          <w:tcPr>
            <w:tcW w:w="7400" w:type="dxa"/>
            <w:vAlign w:val="center"/>
            <w:textDirection w:val="lrTb"/>
            <w:noWrap w:val="false"/>
          </w:tcPr>
          <w:p>
            <w:pPr>
              <w:ind w:firstLine="480"/>
              <w:spacing w:line="400" w:lineRule="exact"/>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投标人应根据采购需求及项目实际情况，对第四章“技术参数要求”中“展柜微环境测控器”的★号参数提供功能演示，具体演示内容如下：</w:t>
            </w:r>
            <w:r/>
          </w:p>
          <w:p>
            <w:pPr>
              <w:ind w:firstLine="480"/>
              <w:spacing w:line="400" w:lineRule="exact"/>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①演示同时接入不同类型传感器探头</w:t>
            </w:r>
            <w:r/>
          </w:p>
          <w:p>
            <w:pPr>
              <w:ind w:firstLine="480"/>
              <w:spacing w:line="400" w:lineRule="exact"/>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演示要求：展柜微环境测控器能够同时接入温湿度传感器探头、光照传感器探头，设备屏幕上能够显示两种传感器探头的类型、实时环境监测数据。</w:t>
            </w:r>
            <w:r/>
          </w:p>
          <w:p>
            <w:pPr>
              <w:ind w:firstLine="480"/>
              <w:spacing w:line="400" w:lineRule="exact"/>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②演示同时接入多个温湿度传感器探头</w:t>
            </w:r>
            <w:r/>
          </w:p>
          <w:p>
            <w:pPr>
              <w:ind w:firstLine="480"/>
              <w:spacing w:line="400" w:lineRule="exact"/>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演示要求：展柜微环境测控器同时接入12个温湿度传感器探头，设备屏幕上能够显示传感器的类型、每个传感器实时环境监测数据、所有探头平均温湿度数据。</w:t>
            </w:r>
            <w:r/>
          </w:p>
          <w:p>
            <w:pPr>
              <w:ind w:firstLine="480"/>
              <w:spacing w:line="400" w:lineRule="exact"/>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③演示传感器探头热插拔功能</w:t>
            </w:r>
            <w:r/>
          </w:p>
          <w:p>
            <w:pPr>
              <w:ind w:firstLine="480"/>
              <w:spacing w:line="400" w:lineRule="exact"/>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演示要求：展柜微环境测控器在开机状态下，将带有的一个传感器探头从设备接口拔掉，屏幕上可显示传感器故障；再将传感器探头接入设备，设备屏幕上可显示接入传感器的ID、类型、实时环境监测数据。</w:t>
            </w:r>
            <w:r/>
          </w:p>
          <w:p>
            <w:pPr>
              <w:ind w:firstLine="480"/>
              <w:spacing w:line="400" w:lineRule="exact"/>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④演示设备的设置功能</w:t>
            </w:r>
            <w:r/>
          </w:p>
          <w:p>
            <w:pPr>
              <w:ind w:firstLine="480"/>
              <w:spacing w:line="400" w:lineRule="exact"/>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演示要求：通过对展柜微环境测控器触摸屏的点击、输入操作，可对设备的通信方式、IP地址及传感器校准功能进行设置。</w:t>
            </w:r>
            <w:r/>
          </w:p>
          <w:p>
            <w:pPr>
              <w:ind w:firstLine="480"/>
              <w:spacing w:line="400" w:lineRule="exact"/>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评委根据上传的演示视频进行评分：每成功演示一项功能得2分，四项功能全部成功演示得8分。单项功能未成功演示或未演示的，该功能项不得分。</w:t>
            </w:r>
            <w:r/>
          </w:p>
        </w:tc>
        <w:tc>
          <w:tcPr>
            <w:tcW w:w="877" w:type="dxa"/>
            <w:vAlign w:val="center"/>
            <w:textDirection w:val="lrTb"/>
            <w:noWrap w:val="false"/>
          </w:tcPr>
          <w:p>
            <w:pPr>
              <w:ind w:firstLine="0"/>
              <w:jc w:val="center"/>
              <w:spacing w:line="400" w:lineRule="exact"/>
              <w:rPr>
                <w:rFonts w:ascii="Times New Roman" w:hAnsi="Times New Roman" w:eastAsia="宋体" w:cs="Times New Roman"/>
                <w:sz w:val="24"/>
              </w:rPr>
            </w:pPr>
            <w:r>
              <w:rPr>
                <w:rFonts w:hint="eastAsia" w:ascii="Times New Roman" w:hAnsi="Times New Roman" w:eastAsia="宋体" w:cs="Times New Roman"/>
                <w:sz w:val="24"/>
              </w:rPr>
              <w:t xml:space="preserve">8</w:t>
            </w:r>
            <w:r/>
          </w:p>
        </w:tc>
      </w:tr>
      <w:tr>
        <w:trPr>
          <w:jc w:val="center"/>
          <w:trHeight w:val="684"/>
        </w:trPr>
        <w:tc>
          <w:tcPr>
            <w:tcW w:w="1465" w:type="dxa"/>
            <w:vAlign w:val="center"/>
            <w:textDirection w:val="lrTb"/>
            <w:noWrap w:val="false"/>
          </w:tcPr>
          <w:p>
            <w:pPr>
              <w:ind w:firstLine="0"/>
              <w:jc w:val="center"/>
              <w:spacing w:line="400" w:lineRule="exact"/>
              <w:rPr>
                <w:rFonts w:ascii="Times New Roman" w:hAnsi="Times New Roman" w:eastAsia="宋体" w:cs="Times New Roman"/>
                <w:sz w:val="24"/>
                <w:lang w:eastAsia="zh-Hans"/>
              </w:rPr>
            </w:pPr>
            <w:r>
              <w:rPr>
                <w:rFonts w:ascii="Times New Roman" w:hAnsi="Times New Roman" w:eastAsia="宋体" w:cs="Times New Roman"/>
                <w:sz w:val="24"/>
                <w:lang w:eastAsia="zh-Hans"/>
              </w:rPr>
              <w:t xml:space="preserve">业绩</w:t>
            </w:r>
            <w:r/>
          </w:p>
          <w:p>
            <w:pPr>
              <w:ind w:firstLine="0"/>
              <w:jc w:val="center"/>
              <w:spacing w:line="400" w:lineRule="exact"/>
              <w:rPr>
                <w:rFonts w:ascii="Times New Roman" w:hAnsi="Times New Roman" w:eastAsia="宋体" w:cs="Times New Roman"/>
              </w:rPr>
            </w:pPr>
            <w:r>
              <w:rPr>
                <w:rFonts w:ascii="Times New Roman" w:hAnsi="Times New Roman" w:eastAsia="宋体" w:cs="Times New Roman"/>
                <w:sz w:val="24"/>
                <w:lang w:eastAsia="zh-Hans"/>
              </w:rPr>
              <w:t xml:space="preserve">（</w:t>
            </w:r>
            <w:r>
              <w:rPr>
                <w:rFonts w:hint="eastAsia" w:ascii="Times New Roman" w:hAnsi="Times New Roman" w:eastAsia="宋体" w:cs="Times New Roman"/>
                <w:sz w:val="24"/>
              </w:rPr>
              <w:t xml:space="preserve">3</w:t>
            </w:r>
            <w:r>
              <w:rPr>
                <w:rFonts w:ascii="Times New Roman" w:hAnsi="Times New Roman" w:eastAsia="宋体" w:cs="Times New Roman"/>
                <w:sz w:val="24"/>
                <w:lang w:eastAsia="zh-Hans"/>
              </w:rPr>
              <w:t xml:space="preserve">分）</w:t>
            </w:r>
            <w:r/>
          </w:p>
        </w:tc>
        <w:tc>
          <w:tcPr>
            <w:tcW w:w="7400" w:type="dxa"/>
            <w:vAlign w:val="center"/>
            <w:textDirection w:val="lrTb"/>
            <w:noWrap w:val="false"/>
          </w:tcPr>
          <w:p>
            <w:pPr>
              <w:ind w:firstLine="480"/>
              <w:spacing w:line="400" w:lineRule="exact"/>
              <w:rPr>
                <w:rFonts w:ascii="Times New Roman" w:hAnsi="Times New Roman" w:eastAsia="宋体" w:cs="Times New Roman"/>
                <w:sz w:val="24"/>
              </w:rPr>
            </w:pPr>
            <w:r>
              <w:rPr>
                <w:rFonts w:hint="eastAsia" w:ascii="Times New Roman" w:hAnsi="Times New Roman" w:eastAsia="宋体" w:cs="Times New Roman"/>
                <w:sz w:val="24"/>
              </w:rPr>
              <w:t xml:space="preserve">投标人自</w:t>
            </w:r>
            <w:r>
              <w:rPr>
                <w:rFonts w:ascii="Times New Roman" w:hAnsi="Times New Roman" w:eastAsia="宋体" w:cs="Times New Roman"/>
                <w:sz w:val="24"/>
              </w:rPr>
              <w:t xml:space="preserve">202</w:t>
            </w:r>
            <w:r>
              <w:rPr>
                <w:rFonts w:hint="eastAsia" w:ascii="Times New Roman" w:hAnsi="Times New Roman" w:eastAsia="宋体" w:cs="Times New Roman"/>
                <w:sz w:val="24"/>
              </w:rPr>
              <w:t xml:space="preserve">3</w:t>
            </w:r>
            <w:r>
              <w:rPr>
                <w:rFonts w:ascii="Times New Roman" w:hAnsi="Times New Roman" w:eastAsia="宋体" w:cs="Times New Roman"/>
                <w:sz w:val="24"/>
              </w:rPr>
              <w:t xml:space="preserve">年</w:t>
            </w:r>
            <w:r>
              <w:rPr>
                <w:rFonts w:hint="eastAsia" w:ascii="Times New Roman" w:hAnsi="Times New Roman" w:eastAsia="宋体" w:cs="Times New Roman"/>
                <w:sz w:val="24"/>
              </w:rPr>
              <w:t xml:space="preserve">1</w:t>
            </w:r>
            <w:r>
              <w:rPr>
                <w:rFonts w:ascii="Times New Roman" w:hAnsi="Times New Roman" w:eastAsia="宋体" w:cs="Times New Roman"/>
                <w:sz w:val="24"/>
              </w:rPr>
              <w:t xml:space="preserve">月1日</w:t>
            </w:r>
            <w:r>
              <w:rPr>
                <w:rFonts w:hint="eastAsia" w:ascii="Times New Roman" w:hAnsi="Times New Roman" w:eastAsia="宋体" w:cs="Times New Roman"/>
                <w:sz w:val="24"/>
              </w:rPr>
              <w:t xml:space="preserve">（以</w:t>
            </w:r>
            <w:r>
              <w:rPr>
                <w:rFonts w:ascii="Times New Roman" w:hAnsi="Times New Roman" w:eastAsia="宋体" w:cs="Times New Roman"/>
                <w:sz w:val="24"/>
              </w:rPr>
              <w:t xml:space="preserve">合同签订日期</w:t>
            </w:r>
            <w:r>
              <w:rPr>
                <w:rFonts w:hint="eastAsia" w:ascii="Times New Roman" w:hAnsi="Times New Roman" w:eastAsia="宋体" w:cs="Times New Roman"/>
                <w:sz w:val="24"/>
              </w:rPr>
              <w:t xml:space="preserve">为准）以来承担过类似项目业绩的</w:t>
            </w:r>
            <w:r>
              <w:rPr>
                <w:rFonts w:ascii="Times New Roman" w:hAnsi="Times New Roman" w:eastAsia="宋体" w:cs="Times New Roman"/>
                <w:sz w:val="24"/>
              </w:rPr>
              <w:t xml:space="preserve">，每提供一个业绩得</w:t>
            </w:r>
            <w:r>
              <w:rPr>
                <w:rFonts w:hint="eastAsia" w:ascii="Times New Roman" w:hAnsi="Times New Roman" w:eastAsia="宋体" w:cs="Times New Roman"/>
                <w:sz w:val="24"/>
              </w:rPr>
              <w:t xml:space="preserve">1</w:t>
            </w:r>
            <w:r>
              <w:rPr>
                <w:rFonts w:ascii="Times New Roman" w:hAnsi="Times New Roman" w:eastAsia="宋体" w:cs="Times New Roman"/>
                <w:sz w:val="24"/>
              </w:rPr>
              <w:t xml:space="preserve">分，最高得</w:t>
            </w:r>
            <w:r>
              <w:rPr>
                <w:rFonts w:hint="eastAsia" w:ascii="Times New Roman" w:hAnsi="Times New Roman" w:eastAsia="宋体" w:cs="Times New Roman"/>
                <w:sz w:val="24"/>
              </w:rPr>
              <w:t xml:space="preserve">3</w:t>
            </w:r>
            <w:r>
              <w:rPr>
                <w:rFonts w:ascii="Times New Roman" w:hAnsi="Times New Roman" w:eastAsia="宋体" w:cs="Times New Roman"/>
                <w:sz w:val="24"/>
              </w:rPr>
              <w:t xml:space="preserve">分。</w:t>
            </w:r>
            <w:r/>
          </w:p>
          <w:p>
            <w:pPr>
              <w:ind w:firstLine="480"/>
              <w:spacing w:line="400" w:lineRule="exact"/>
              <w:rPr>
                <w:rFonts w:ascii="Times New Roman" w:hAnsi="Times New Roman" w:eastAsia="宋体" w:cs="Times New Roman"/>
                <w:sz w:val="24"/>
              </w:rPr>
            </w:pPr>
            <w:r>
              <w:rPr>
                <w:rFonts w:hint="eastAsia" w:ascii="Times New Roman" w:hAnsi="Times New Roman" w:eastAsia="宋体" w:cs="Times New Roman"/>
                <w:bCs/>
                <w:sz w:val="24"/>
              </w:rPr>
              <w:t xml:space="preserve">注：投标时需提供合同扫描件并加盖投标人公章，合同扫描件须清晰体现合同签订时间及与本项目相关的文物保护或环境监控类设备（如展柜恒湿机、展柜微环境测控器等与本项目采购清单中产品</w:t>
            </w:r>
            <w:r>
              <w:rPr>
                <w:rFonts w:hint="eastAsia" w:ascii="Times New Roman" w:hAnsi="Times New Roman" w:eastAsia="宋体" w:cs="Times New Roman"/>
                <w:bCs/>
                <w:sz w:val="24"/>
                <w:lang w:val="en-US" w:eastAsia="zh-CN"/>
              </w:rPr>
              <w:t xml:space="preserve">类似</w:t>
            </w:r>
            <w:r>
              <w:rPr>
                <w:rFonts w:hint="eastAsia" w:ascii="Times New Roman" w:hAnsi="Times New Roman" w:eastAsia="宋体" w:cs="Times New Roman"/>
                <w:bCs/>
                <w:sz w:val="24"/>
              </w:rPr>
              <w:t xml:space="preserve">的设备）；如合同内容无法直接体现上述设备名称，可补充提供验收报告、用户证明或采购清单附件等佐证材料。未按要求提供证明材料或提供的材料无法证明业绩符合要求的，不得分。</w:t>
            </w:r>
            <w:r/>
          </w:p>
        </w:tc>
        <w:tc>
          <w:tcPr>
            <w:tcW w:w="877" w:type="dxa"/>
            <w:vAlign w:val="center"/>
            <w:textDirection w:val="lrTb"/>
            <w:noWrap w:val="false"/>
          </w:tcPr>
          <w:p>
            <w:pPr>
              <w:ind w:firstLine="0"/>
              <w:jc w:val="center"/>
              <w:spacing w:line="400" w:lineRule="exact"/>
              <w:rPr>
                <w:rFonts w:ascii="Times New Roman" w:hAnsi="Times New Roman" w:eastAsia="宋体" w:cs="Times New Roman"/>
                <w:sz w:val="24"/>
              </w:rPr>
            </w:pPr>
            <w:r>
              <w:rPr>
                <w:rFonts w:hint="eastAsia" w:ascii="Times New Roman" w:hAnsi="Times New Roman" w:eastAsia="宋体" w:cs="Times New Roman"/>
                <w:sz w:val="24"/>
              </w:rPr>
              <w:t xml:space="preserve">3</w:t>
            </w:r>
            <w:r/>
          </w:p>
        </w:tc>
      </w:tr>
      <w:tr>
        <w:trPr>
          <w:jc w:val="center"/>
          <w:trHeight w:val="1144"/>
        </w:trPr>
        <w:tc>
          <w:tcPr>
            <w:tcW w:w="1465" w:type="dxa"/>
            <w:vAlign w:val="center"/>
            <w:textDirection w:val="lrTb"/>
            <w:noWrap w:val="false"/>
          </w:tcPr>
          <w:p>
            <w:pPr>
              <w:ind w:firstLine="0"/>
              <w:jc w:val="center"/>
              <w:spacing w:line="400" w:lineRule="exact"/>
              <w:rPr>
                <w:rFonts w:ascii="Times New Roman" w:hAnsi="Times New Roman" w:eastAsia="宋体" w:cs="Times New Roman"/>
                <w:sz w:val="24"/>
                <w:highlight w:val="none"/>
                <w:lang w:eastAsia="zh-Hans"/>
              </w:rPr>
            </w:pPr>
            <w:r/>
            <w:bookmarkStart w:id="218" w:name="_GoBack"/>
            <w:r>
              <w:rPr>
                <w:rFonts w:ascii="Times New Roman" w:hAnsi="Times New Roman" w:eastAsia="宋体" w:cs="Times New Roman"/>
                <w:sz w:val="24"/>
                <w:highlight w:val="none"/>
                <w:lang w:eastAsia="zh-Hans"/>
              </w:rPr>
              <w:t xml:space="preserve">体系认证</w:t>
            </w:r>
            <w:r/>
          </w:p>
          <w:p>
            <w:pPr>
              <w:ind w:firstLine="0"/>
              <w:jc w:val="center"/>
              <w:spacing w:line="400" w:lineRule="exact"/>
              <w:rPr>
                <w:rFonts w:ascii="Times New Roman" w:hAnsi="Times New Roman" w:eastAsia="宋体" w:cs="Times New Roman"/>
                <w:highlight w:val="none"/>
              </w:rPr>
            </w:pPr>
            <w:r>
              <w:rPr>
                <w:rFonts w:ascii="Times New Roman" w:hAnsi="Times New Roman" w:eastAsia="宋体" w:cs="Times New Roman"/>
                <w:sz w:val="24"/>
                <w:highlight w:val="none"/>
                <w:lang w:eastAsia="zh-Hans"/>
              </w:rPr>
              <w:t xml:space="preserve">（</w:t>
            </w:r>
            <w:r>
              <w:rPr>
                <w:rFonts w:hint="eastAsia" w:ascii="Times New Roman" w:hAnsi="Times New Roman" w:eastAsia="宋体" w:cs="Times New Roman"/>
                <w:sz w:val="24"/>
                <w:highlight w:val="none"/>
              </w:rPr>
              <w:t xml:space="preserve">3</w:t>
            </w:r>
            <w:r>
              <w:rPr>
                <w:rFonts w:ascii="Times New Roman" w:hAnsi="Times New Roman" w:eastAsia="宋体" w:cs="Times New Roman"/>
                <w:sz w:val="24"/>
                <w:highlight w:val="none"/>
                <w:lang w:eastAsia="zh-Hans"/>
              </w:rPr>
              <w:t xml:space="preserve">分）</w:t>
            </w:r>
            <w:r/>
          </w:p>
        </w:tc>
        <w:tc>
          <w:tcPr>
            <w:tcW w:w="7400" w:type="dxa"/>
            <w:vAlign w:val="center"/>
            <w:textDirection w:val="lrTb"/>
            <w:noWrap w:val="false"/>
          </w:tcPr>
          <w:p>
            <w:pPr>
              <w:ind w:firstLine="480"/>
              <w:spacing w:line="400" w:lineRule="exact"/>
              <w:rPr>
                <w:rFonts w:ascii="Times New Roman" w:hAnsi="Times New Roman" w:eastAsia="宋体" w:cs="Times New Roman"/>
                <w:bCs/>
                <w:sz w:val="24"/>
                <w:highlight w:val="none"/>
              </w:rPr>
            </w:pPr>
            <w:r>
              <w:rPr>
                <w:rFonts w:ascii="Times New Roman" w:hAnsi="Times New Roman" w:eastAsia="宋体" w:cs="Times New Roman"/>
                <w:bCs/>
                <w:sz w:val="24"/>
                <w:highlight w:val="none"/>
              </w:rPr>
              <w:t xml:space="preserve">投标人具备有效的</w:t>
            </w:r>
            <w:r>
              <w:rPr>
                <w:rFonts w:hint="eastAsia" w:ascii="Times New Roman" w:hAnsi="Times New Roman" w:eastAsia="宋体" w:cs="Times New Roman"/>
                <w:bCs/>
                <w:sz w:val="24"/>
                <w:highlight w:val="none"/>
              </w:rPr>
              <w:t xml:space="preserve">质量管理体系认证证书、环境管理体系认证证书、职业健康安全管理体系认证证书的</w:t>
            </w:r>
            <w:r>
              <w:rPr>
                <w:rFonts w:ascii="宋体" w:hAnsi="宋体" w:eastAsia="宋体" w:cs="宋体"/>
                <w:sz w:val="24"/>
                <w:highlight w:val="none"/>
              </w:rPr>
              <w:t xml:space="preserve">有一项得</w:t>
            </w:r>
            <w:r>
              <w:rPr>
                <w:rFonts w:hint="eastAsia" w:ascii="宋体" w:hAnsi="宋体" w:eastAsia="宋体" w:cs="宋体"/>
                <w:sz w:val="24"/>
                <w:highlight w:val="none"/>
              </w:rPr>
              <w:t xml:space="preserve">1</w:t>
            </w:r>
            <w:r>
              <w:rPr>
                <w:rFonts w:ascii="宋体" w:hAnsi="宋体" w:eastAsia="宋体" w:cs="宋体"/>
                <w:sz w:val="24"/>
                <w:highlight w:val="none"/>
              </w:rPr>
              <w:t xml:space="preserve">分，</w:t>
            </w:r>
            <w:r>
              <w:rPr>
                <w:rFonts w:hint="eastAsia" w:ascii="宋体" w:hAnsi="宋体" w:eastAsia="宋体" w:cs="宋体"/>
                <w:sz w:val="24"/>
                <w:highlight w:val="none"/>
              </w:rPr>
              <w:t xml:space="preserve">本项</w:t>
            </w:r>
            <w:r>
              <w:rPr>
                <w:rFonts w:ascii="宋体" w:hAnsi="宋体" w:eastAsia="宋体" w:cs="宋体"/>
                <w:sz w:val="24"/>
                <w:highlight w:val="none"/>
              </w:rPr>
              <w:t xml:space="preserve">最高得</w:t>
            </w:r>
            <w:r>
              <w:rPr>
                <w:rFonts w:hint="eastAsia" w:ascii="宋体" w:hAnsi="宋体" w:eastAsia="宋体" w:cs="宋体"/>
                <w:sz w:val="24"/>
                <w:highlight w:val="none"/>
              </w:rPr>
              <w:t xml:space="preserve">3</w:t>
            </w:r>
            <w:r>
              <w:rPr>
                <w:rFonts w:ascii="宋体" w:hAnsi="宋体" w:eastAsia="宋体" w:cs="宋体"/>
                <w:sz w:val="24"/>
                <w:highlight w:val="none"/>
              </w:rPr>
              <w:t xml:space="preserve">分</w:t>
            </w:r>
            <w:r>
              <w:rPr>
                <w:rFonts w:ascii="Times New Roman" w:hAnsi="Times New Roman" w:eastAsia="宋体" w:cs="Times New Roman"/>
                <w:bCs/>
                <w:sz w:val="24"/>
                <w:highlight w:val="none"/>
              </w:rPr>
              <w:t xml:space="preserve">。</w:t>
            </w:r>
            <w:r/>
          </w:p>
          <w:p>
            <w:pPr>
              <w:spacing w:line="40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注：投标时须提供上述证书的原件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r/>
          </w:p>
        </w:tc>
        <w:tc>
          <w:tcPr>
            <w:tcW w:w="877" w:type="dxa"/>
            <w:vAlign w:val="center"/>
            <w:textDirection w:val="lrTb"/>
            <w:noWrap w:val="false"/>
          </w:tcPr>
          <w:p>
            <w:pPr>
              <w:ind w:firstLine="0"/>
              <w:jc w:val="center"/>
              <w:spacing w:line="40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w:t>
            </w:r>
            <w:bookmarkEnd w:id="218"/>
            <w:r/>
          </w:p>
        </w:tc>
      </w:tr>
      <w:tr>
        <w:trPr>
          <w:jc w:val="center"/>
          <w:trHeight w:val="1144"/>
        </w:trPr>
        <w:tc>
          <w:tcPr>
            <w:tcW w:w="1465" w:type="dxa"/>
            <w:vAlign w:val="center"/>
            <w:textDirection w:val="lrTb"/>
            <w:noWrap w:val="false"/>
          </w:tcPr>
          <w:p>
            <w:pPr>
              <w:ind w:firstLine="0"/>
              <w:jc w:val="center"/>
              <w:spacing w:line="400" w:lineRule="exact"/>
              <w:rPr>
                <w:rFonts w:hint="eastAsia" w:ascii="宋体" w:hAnsi="宋体" w:eastAsia="宋体" w:cs="宋体"/>
                <w:sz w:val="24"/>
              </w:rPr>
            </w:pPr>
            <w:r>
              <w:rPr>
                <w:rFonts w:hint="eastAsia" w:ascii="宋体" w:hAnsi="宋体" w:eastAsia="宋体" w:cs="宋体"/>
                <w:sz w:val="24"/>
              </w:rPr>
              <w:t xml:space="preserve">节能环保</w:t>
            </w:r>
            <w:r/>
          </w:p>
          <w:p>
            <w:pPr>
              <w:ind w:firstLine="0"/>
              <w:jc w:val="center"/>
              <w:spacing w:line="400" w:lineRule="exact"/>
              <w:rPr>
                <w:rFonts w:hint="eastAsia" w:ascii="宋体" w:hAnsi="宋体" w:eastAsia="宋体" w:cs="宋体"/>
                <w:sz w:val="24"/>
                <w:lang w:eastAsia="zh-Hans"/>
              </w:rPr>
            </w:pPr>
            <w:r>
              <w:rPr>
                <w:rFonts w:ascii="Times New Roman" w:hAnsi="Times New Roman" w:eastAsia="宋体" w:cs="Times New Roman"/>
                <w:sz w:val="24"/>
                <w:lang w:eastAsia="zh-Hans"/>
              </w:rPr>
              <w:t xml:space="preserve">（</w:t>
            </w:r>
            <w:r>
              <w:rPr>
                <w:rFonts w:hint="eastAsia" w:ascii="Times New Roman" w:hAnsi="Times New Roman" w:eastAsia="宋体" w:cs="Times New Roman"/>
                <w:sz w:val="24"/>
              </w:rPr>
              <w:t xml:space="preserve">1</w:t>
            </w:r>
            <w:r>
              <w:rPr>
                <w:rFonts w:ascii="Times New Roman" w:hAnsi="Times New Roman" w:eastAsia="宋体" w:cs="Times New Roman"/>
                <w:sz w:val="24"/>
                <w:lang w:eastAsia="zh-Hans"/>
              </w:rPr>
              <w:t xml:space="preserve">分）</w:t>
            </w:r>
            <w:r/>
          </w:p>
        </w:tc>
        <w:tc>
          <w:tcPr>
            <w:tcW w:w="7400" w:type="dxa"/>
            <w:vAlign w:val="center"/>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1.投标产品属于财政部、国家发展改革委公布的“节能产品品目清单”范围内的，投标人提供国家确定的认证机构出具的、处于有效期之内的该节能产品认证证书复印件的，有1个得0.25分，最多得0.5分。如投标产品均属于政府强制采购节能产品品目清单范围内，本项不得分。 </w:t>
            </w:r>
            <w:r/>
          </w:p>
          <w:p>
            <w:pPr>
              <w:spacing w:line="400" w:lineRule="exact"/>
              <w:rPr>
                <w:rFonts w:ascii="Times New Roman" w:hAnsi="Times New Roman" w:eastAsia="宋体" w:cs="Times New Roman"/>
                <w:sz w:val="24"/>
              </w:rPr>
            </w:pPr>
            <w:r>
              <w:rPr>
                <w:rFonts w:hint="eastAsia" w:ascii="宋体" w:hAnsi="宋体" w:eastAsia="宋体" w:cs="宋体"/>
                <w:sz w:val="24"/>
              </w:rPr>
              <w:t xml:space="preserve">2.投标产品属于财政部、生态环境部公布的“环境标志产品品目清单”范围内的，投标人提供国家确定的认证机构出具的、处于有效期内的该环保产品认证证书复印件的，有1个得0.25分，最多得0.5分。</w:t>
            </w:r>
            <w:r/>
          </w:p>
        </w:tc>
        <w:tc>
          <w:tcPr>
            <w:tcW w:w="877" w:type="dxa"/>
            <w:vAlign w:val="center"/>
            <w:textDirection w:val="lrTb"/>
            <w:noWrap w:val="false"/>
          </w:tcPr>
          <w:p>
            <w:pPr>
              <w:ind w:firstLine="0"/>
              <w:jc w:val="center"/>
              <w:spacing w:line="400" w:lineRule="exact"/>
              <w:rPr>
                <w:rFonts w:ascii="Times New Roman" w:hAnsi="Times New Roman" w:eastAsia="宋体" w:cs="Times New Roman"/>
                <w:sz w:val="24"/>
              </w:rPr>
            </w:pPr>
            <w:r>
              <w:rPr>
                <w:rFonts w:hint="eastAsia" w:ascii="Times New Roman" w:hAnsi="Times New Roman" w:eastAsia="宋体" w:cs="Times New Roman"/>
                <w:sz w:val="24"/>
              </w:rPr>
              <w:t xml:space="preserve">1</w:t>
            </w:r>
            <w:r/>
          </w:p>
        </w:tc>
      </w:tr>
      <w:tr>
        <w:trPr>
          <w:jc w:val="center"/>
          <w:trHeight w:val="667"/>
        </w:trPr>
        <w:tc>
          <w:tcPr>
            <w:tcW w:w="1465" w:type="dxa"/>
            <w:vAlign w:val="center"/>
            <w:textDirection w:val="lrTb"/>
            <w:noWrap w:val="false"/>
          </w:tcPr>
          <w:p>
            <w:pPr>
              <w:spacing w:line="400" w:lineRule="exact"/>
              <w:rPr>
                <w:rFonts w:ascii="Times New Roman" w:hAnsi="Times New Roman" w:eastAsia="宋体" w:cs="Times New Roman"/>
                <w:sz w:val="24"/>
                <w:lang w:eastAsia="zh-Hans"/>
              </w:rPr>
            </w:pPr>
            <w:r>
              <w:rPr>
                <w:rFonts w:ascii="Times New Roman" w:hAnsi="Times New Roman" w:eastAsia="宋体" w:cs="Times New Roman"/>
                <w:sz w:val="24"/>
                <w:lang w:eastAsia="zh-Hans"/>
              </w:rPr>
              <w:t xml:space="preserve">总分</w:t>
            </w:r>
            <w:r/>
          </w:p>
        </w:tc>
        <w:tc>
          <w:tcPr>
            <w:tcW w:w="7400" w:type="dxa"/>
            <w:vAlign w:val="center"/>
            <w:textDirection w:val="lrTb"/>
            <w:noWrap w:val="false"/>
          </w:tcPr>
          <w:p>
            <w:pPr>
              <w:jc w:val="left"/>
              <w:spacing w:line="400" w:lineRule="exact"/>
              <w:rPr>
                <w:rFonts w:ascii="Times New Roman" w:hAnsi="Times New Roman" w:eastAsia="宋体" w:cs="Times New Roman"/>
                <w:sz w:val="24"/>
                <w:lang w:eastAsia="zh-Hans"/>
              </w:rPr>
            </w:pPr>
            <w:r>
              <w:rPr>
                <w:rFonts w:ascii="Times New Roman" w:hAnsi="Times New Roman" w:eastAsia="宋体" w:cs="Times New Roman"/>
                <w:sz w:val="24"/>
                <w:lang w:eastAsia="zh-Hans"/>
              </w:rPr>
            </w:r>
            <w:r/>
          </w:p>
        </w:tc>
        <w:tc>
          <w:tcPr>
            <w:tcW w:w="877" w:type="dxa"/>
            <w:vAlign w:val="center"/>
            <w:textDirection w:val="lrTb"/>
            <w:noWrap w:val="false"/>
          </w:tcPr>
          <w:p>
            <w:pPr>
              <w:ind w:firstLine="0"/>
              <w:jc w:val="center"/>
              <w:spacing w:line="400" w:lineRule="exact"/>
              <w:rPr>
                <w:rFonts w:ascii="Times New Roman" w:hAnsi="Times New Roman" w:eastAsia="宋体" w:cs="Times New Roman"/>
                <w:sz w:val="24"/>
                <w:lang w:eastAsia="zh-Hans"/>
              </w:rPr>
            </w:pPr>
            <w:r>
              <w:rPr>
                <w:rFonts w:ascii="Times New Roman" w:hAnsi="Times New Roman" w:eastAsia="宋体" w:cs="Times New Roman"/>
                <w:sz w:val="24"/>
                <w:lang w:eastAsia="zh-Hans"/>
              </w:rPr>
              <w:t xml:space="preserve">100</w:t>
            </w:r>
            <w:r/>
          </w:p>
        </w:tc>
      </w:tr>
    </w:tbl>
    <w:p>
      <w:pPr>
        <w:ind w:firstLine="0"/>
        <w:spacing w:line="400" w:lineRule="exact"/>
        <w:rPr>
          <w:rFonts w:hint="eastAsia" w:ascii="宋体" w:hAnsi="宋体" w:eastAsia="宋体" w:cs="宋体"/>
          <w:b/>
          <w:bCs/>
          <w:sz w:val="24"/>
        </w:rPr>
      </w:pPr>
      <w:r>
        <w:rPr>
          <w:rFonts w:hint="eastAsia" w:ascii="宋体" w:hAnsi="宋体" w:eastAsia="宋体" w:cs="宋体"/>
          <w:b/>
          <w:bCs/>
          <w:sz w:val="24"/>
        </w:rPr>
        <w:t xml:space="preserve">注：</w:t>
      </w:r>
      <w:r/>
    </w:p>
    <w:p>
      <w:pPr>
        <w:ind w:firstLine="482"/>
        <w:spacing w:line="400" w:lineRule="exact"/>
        <w:rPr>
          <w:rFonts w:hint="eastAsia" w:ascii="宋体" w:hAnsi="宋体" w:eastAsia="宋体" w:cs="宋体"/>
          <w:b/>
          <w:bCs/>
          <w:sz w:val="24"/>
        </w:rPr>
      </w:pPr>
      <w:r>
        <w:rPr>
          <w:rFonts w:hint="eastAsia" w:ascii="宋体" w:hAnsi="宋体" w:eastAsia="宋体" w:cs="宋体"/>
          <w:b/>
          <w:bCs/>
          <w:sz w:val="24"/>
        </w:rPr>
        <w:t xml:space="preserve">①视频演示：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10分钟。</w:t>
      </w:r>
      <w:r/>
    </w:p>
    <w:p>
      <w:pPr>
        <w:ind w:firstLine="482"/>
        <w:spacing w:line="400" w:lineRule="exact"/>
        <w:rPr>
          <w:rFonts w:hint="eastAsia" w:ascii="宋体" w:hAnsi="宋体" w:eastAsia="宋体" w:cs="宋体"/>
          <w:b/>
          <w:bCs/>
          <w:sz w:val="24"/>
        </w:rPr>
      </w:pPr>
      <w:r>
        <w:rPr>
          <w:rFonts w:hint="eastAsia" w:ascii="宋体" w:hAnsi="宋体" w:eastAsia="宋体" w:cs="宋体"/>
          <w:b/>
          <w:bCs/>
          <w:sz w:val="24"/>
        </w:rPr>
        <w:t xml:space="preserve">②投标人对所提供资料的真实性负责。采购人保留对中标单位所有资料进行复核的权利。如有弄虚作假者，一经发现，立即取消其中标资格，并向相关主管部门汇报。</w:t>
      </w:r>
      <w:r/>
    </w:p>
    <w:p>
      <w:pPr>
        <w:ind w:firstLine="0"/>
        <w:spacing w:line="400" w:lineRule="exact"/>
        <w:rPr>
          <w:rFonts w:hint="eastAsia" w:ascii="宋体" w:hAnsi="宋体" w:eastAsia="宋体" w:cs="宋体"/>
          <w:b/>
          <w:bCs/>
          <w:sz w:val="24"/>
        </w:rPr>
      </w:pPr>
      <w:r>
        <w:rPr>
          <w:rFonts w:hint="eastAsia" w:ascii="宋体" w:hAnsi="宋体" w:eastAsia="宋体" w:cs="宋体"/>
          <w:b/>
          <w:bCs/>
          <w:sz w:val="24"/>
        </w:rPr>
      </w:r>
      <w:r/>
    </w:p>
    <w:p>
      <w:pPr>
        <w:pStyle w:val="686"/>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r>
      <w:r/>
    </w:p>
    <w:p>
      <w:pPr>
        <w:ind w:firstLine="0"/>
        <w:jc w:val="left"/>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r>
      <w:r/>
    </w:p>
    <w:p>
      <w:pPr>
        <w:pStyle w:val="686"/>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br w:type="page" w:clear="all"/>
      </w:r>
      <w:r/>
    </w:p>
    <w:p>
      <w:pPr>
        <w:pStyle w:val="686"/>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r>
      <w:r/>
    </w:p>
    <w:p>
      <w:pPr>
        <w:ind w:firstLine="0"/>
        <w:jc w:val="center"/>
        <w:keepNext/>
        <w:spacing w:line="500" w:lineRule="exact"/>
        <w:widowControl w:val="off"/>
        <w:rPr>
          <w:rFonts w:ascii="方正小标宋_GBK" w:hAnsi="方正小标宋_GBK" w:eastAsia="方正小标宋_GBK" w:cs="方正小标宋_GBK"/>
          <w:color w:val="000000"/>
          <w:sz w:val="44"/>
          <w:szCs w:val="44"/>
        </w:rPr>
        <w:outlineLvl w:val="0"/>
      </w:pPr>
      <w:r>
        <w:rPr>
          <w:rFonts w:ascii="方正小标宋_GBK" w:hAnsi="方正小标宋_GBK" w:eastAsia="方正小标宋_GBK" w:cs="方正小标宋_GBK"/>
          <w:color w:val="000000"/>
          <w:sz w:val="44"/>
          <w:szCs w:val="44"/>
        </w:rPr>
      </w:r>
      <w:r/>
    </w:p>
    <w:p>
      <w:pPr>
        <w:ind w:firstLine="0"/>
        <w:jc w:val="center"/>
        <w:keepNext/>
        <w:spacing w:line="500" w:lineRule="exact"/>
        <w:widowControl w:val="off"/>
        <w:rPr>
          <w:rFonts w:ascii="方正小标宋_GBK" w:hAnsi="方正小标宋_GBK" w:eastAsia="方正小标宋_GBK" w:cs="方正小标宋_GBK"/>
          <w:color w:val="000000"/>
          <w:sz w:val="44"/>
          <w:szCs w:val="44"/>
        </w:rPr>
        <w:outlineLvl w:val="0"/>
      </w:pPr>
      <w:r>
        <w:rPr>
          <w:rFonts w:hint="eastAsia" w:ascii="方正小标宋_GBK" w:hAnsi="方正小标宋_GBK" w:eastAsia="方正小标宋_GBK" w:cs="方正小标宋_GBK"/>
          <w:color w:val="000000"/>
          <w:sz w:val="44"/>
          <w:szCs w:val="44"/>
        </w:rPr>
        <w:t xml:space="preserve">第六章  投标文件格式</w:t>
      </w:r>
      <w:r/>
    </w:p>
    <w:p>
      <w:pPr>
        <w:pStyle w:val="682"/>
        <w:jc w:val="center"/>
        <w:spacing w:beforeAutospacing="0" w:afterAutospacing="0"/>
        <w:rPr>
          <w:rFonts w:hint="eastAsia" w:ascii="宋体" w:hAnsi="宋体" w:eastAsia="宋体" w:cs="宋体"/>
          <w:b/>
          <w:sz w:val="72"/>
          <w:szCs w:val="72"/>
        </w:rPr>
      </w:pPr>
      <w:r/>
      <w:bookmarkStart w:id="179" w:name="_Toc49090576"/>
      <w:r/>
      <w:bookmarkEnd w:id="179"/>
      <w:r/>
      <w:bookmarkStart w:id="180" w:name="_Toc120614282"/>
      <w:r/>
      <w:bookmarkEnd w:id="180"/>
      <w:r/>
      <w:bookmarkStart w:id="181" w:name="_Toc26554094"/>
      <w:r/>
      <w:bookmarkStart w:id="182" w:name="_Hlt26955039"/>
      <w:r/>
      <w:bookmarkStart w:id="183" w:name="_Hlt26671244"/>
      <w:r/>
      <w:r/>
    </w:p>
    <w:p>
      <w:pPr>
        <w:pStyle w:val="682"/>
        <w:jc w:val="center"/>
        <w:spacing w:beforeAutospacing="0" w:afterAutospacing="0"/>
        <w:rPr>
          <w:rFonts w:hint="eastAsia" w:ascii="宋体" w:hAnsi="宋体" w:eastAsia="宋体" w:cs="宋体"/>
          <w:b/>
          <w:sz w:val="72"/>
          <w:szCs w:val="72"/>
        </w:rPr>
      </w:pPr>
      <w:r>
        <w:rPr>
          <w:rFonts w:hint="eastAsia" w:ascii="宋体" w:hAnsi="宋体" w:eastAsia="宋体" w:cs="宋体"/>
          <w:b/>
          <w:sz w:val="72"/>
          <w:szCs w:val="72"/>
        </w:rPr>
      </w:r>
      <w:r/>
    </w:p>
    <w:p>
      <w:pPr>
        <w:ind w:firstLine="0"/>
        <w:jc w:val="center"/>
        <w:widowControl w:val="off"/>
        <w:rPr>
          <w:rFonts w:ascii="方正小标宋_GBK" w:hAnsi="方正小标宋_GBK" w:eastAsia="方正小标宋_GBK" w:cs="方正小标宋_GBK"/>
          <w:bCs/>
          <w:color w:val="000000"/>
          <w:sz w:val="72"/>
          <w:szCs w:val="21"/>
        </w:rPr>
      </w:pPr>
      <w:r>
        <w:rPr>
          <w:rFonts w:hint="eastAsia" w:ascii="方正小标宋_GBK" w:hAnsi="方正小标宋_GBK" w:eastAsia="方正小标宋_GBK" w:cs="方正小标宋_GBK"/>
          <w:bCs/>
          <w:color w:val="000000"/>
          <w:sz w:val="72"/>
          <w:szCs w:val="21"/>
        </w:rPr>
        <w:t xml:space="preserve">投  标  文  件</w:t>
      </w:r>
      <w:r/>
    </w:p>
    <w:p>
      <w:pPr>
        <w:pStyle w:val="682"/>
        <w:jc w:val="center"/>
        <w:spacing w:beforeAutospacing="0" w:afterAutospacing="0"/>
      </w:pPr>
      <w:r>
        <w:t xml:space="preserve"> </w:t>
      </w:r>
      <w:r/>
    </w:p>
    <w:p>
      <w:pPr>
        <w:pStyle w:val="682"/>
        <w:jc w:val="center"/>
        <w:spacing w:beforeAutospacing="0" w:afterAutospacing="0"/>
      </w:pPr>
      <w:r>
        <w:t xml:space="preserve"> </w:t>
      </w:r>
      <w:r/>
    </w:p>
    <w:p>
      <w:pPr>
        <w:pStyle w:val="682"/>
        <w:jc w:val="center"/>
        <w:spacing w:beforeAutospacing="0" w:afterAutospacing="0"/>
      </w:pPr>
      <w:r>
        <w:t xml:space="preserve"> </w:t>
      </w:r>
      <w:r/>
    </w:p>
    <w:p>
      <w:pPr>
        <w:pStyle w:val="682"/>
        <w:jc w:val="center"/>
        <w:spacing w:beforeAutospacing="0" w:afterAutospacing="0"/>
      </w:pPr>
      <w:r>
        <w:t xml:space="preserve"> </w:t>
      </w:r>
      <w:r/>
    </w:p>
    <w:p>
      <w:pPr>
        <w:pStyle w:val="682"/>
        <w:jc w:val="center"/>
        <w:spacing w:beforeAutospacing="0" w:afterAutospacing="0"/>
      </w:pPr>
      <w:r>
        <w:t xml:space="preserve"> </w:t>
      </w:r>
      <w:r/>
    </w:p>
    <w:p>
      <w:pPr>
        <w:pStyle w:val="682"/>
        <w:ind w:firstLine="1341"/>
        <w:jc w:val="both"/>
        <w:spacing w:beforeAutospacing="0" w:afterAutospacing="0"/>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682"/>
        <w:ind w:firstLine="1341"/>
        <w:jc w:val="both"/>
        <w:spacing w:beforeAutospacing="0" w:afterAutospacing="0"/>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682"/>
        <w:ind w:firstLine="1341"/>
        <w:jc w:val="both"/>
        <w:spacing w:beforeAutospacing="0" w:afterAutospacing="0"/>
      </w:pPr>
      <w:r>
        <w:rPr>
          <w:rFonts w:hint="eastAsia" w:ascii="宋体" w:hAnsi="宋体" w:eastAsia="宋体" w:cs="宋体"/>
          <w:b/>
          <w:color w:val="000000"/>
          <w:sz w:val="36"/>
          <w:szCs w:val="36"/>
        </w:rPr>
        <w:t xml:space="preserve">投标人名称 ：</w:t>
      </w:r>
      <w:r>
        <w:rPr>
          <w:rFonts w:hint="eastAsia" w:ascii="宋体" w:hAnsi="宋体" w:eastAsia="宋体" w:cs="宋体"/>
          <w:b/>
          <w:color w:val="000000"/>
          <w:sz w:val="36"/>
          <w:szCs w:val="36"/>
          <w:u w:val="single"/>
        </w:rPr>
        <w:t xml:space="preserve">（加盖CA电子公章）</w:t>
      </w:r>
      <w:r/>
    </w:p>
    <w:p>
      <w:pPr>
        <w:pStyle w:val="682"/>
        <w:ind w:firstLine="1341"/>
        <w:jc w:val="both"/>
        <w:spacing w:beforeAutospacing="0" w:afterAutospacing="0"/>
      </w:pP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p>
    <w:p>
      <w:pPr>
        <w:pStyle w:val="682"/>
        <w:jc w:val="center"/>
        <w:spacing w:beforeAutospacing="0" w:afterAutospacing="0" w:line="0" w:lineRule="atLeast"/>
      </w:pPr>
      <w:r/>
      <w:r/>
    </w:p>
    <w:p>
      <w:pPr>
        <w:pStyle w:val="682"/>
        <w:jc w:val="center"/>
        <w:spacing w:beforeAutospacing="0" w:afterAutospacing="0" w:line="0" w:lineRule="atLeast"/>
      </w:pPr>
      <w:r/>
      <w:r/>
    </w:p>
    <w:p>
      <w:pPr>
        <w:pStyle w:val="682"/>
        <w:jc w:val="center"/>
        <w:spacing w:beforeAutospacing="0" w:afterAutospacing="0" w:line="0" w:lineRule="atLeast"/>
      </w:pPr>
      <w:r/>
      <w:r/>
    </w:p>
    <w:p>
      <w:pPr>
        <w:pStyle w:val="682"/>
        <w:jc w:val="center"/>
        <w:spacing w:beforeAutospacing="0" w:afterAutospacing="0" w:line="0" w:lineRule="atLeast"/>
      </w:pPr>
      <w:r/>
      <w:r/>
    </w:p>
    <w:p>
      <w:pPr>
        <w:pStyle w:val="682"/>
        <w:jc w:val="center"/>
        <w:spacing w:beforeAutospacing="0" w:afterAutospacing="0" w:line="0" w:lineRule="atLeast"/>
      </w:pPr>
      <w:r/>
      <w:r/>
    </w:p>
    <w:p>
      <w:pPr>
        <w:pStyle w:val="682"/>
        <w:jc w:val="center"/>
        <w:spacing w:beforeAutospacing="0" w:afterAutospacing="0" w:line="0" w:lineRule="atLeast"/>
      </w:pPr>
      <w:r/>
      <w:r/>
    </w:p>
    <w:p>
      <w:pPr>
        <w:pStyle w:val="682"/>
        <w:jc w:val="center"/>
        <w:spacing w:beforeAutospacing="0" w:afterAutospacing="0" w:line="0" w:lineRule="atLeast"/>
      </w:pPr>
      <w:r/>
      <w:r/>
    </w:p>
    <w:p>
      <w:pPr>
        <w:pStyle w:val="682"/>
        <w:jc w:val="center"/>
        <w:spacing w:beforeAutospacing="0" w:afterAutospacing="0" w:line="0" w:lineRule="atLeast"/>
      </w:pPr>
      <w:r/>
      <w:r/>
    </w:p>
    <w:p>
      <w:pPr>
        <w:pStyle w:val="682"/>
        <w:jc w:val="center"/>
        <w:spacing w:beforeAutospacing="0" w:afterAutospacing="0" w:line="0" w:lineRule="atLeast"/>
      </w:pPr>
      <w:r/>
      <w:r/>
    </w:p>
    <w:p>
      <w:pPr>
        <w:pStyle w:val="682"/>
        <w:jc w:val="center"/>
        <w:spacing w:beforeAutospacing="0" w:afterAutospacing="0" w:line="0" w:lineRule="atLeast"/>
      </w:pPr>
      <w:r/>
      <w:r/>
    </w:p>
    <w:p>
      <w:pPr>
        <w:pStyle w:val="682"/>
        <w:jc w:val="center"/>
        <w:spacing w:beforeAutospacing="0" w:afterAutospacing="0" w:line="0" w:lineRule="atLeast"/>
      </w:pPr>
      <w:r/>
      <w:r/>
    </w:p>
    <w:p>
      <w:pPr>
        <w:pStyle w:val="682"/>
        <w:jc w:val="center"/>
        <w:spacing w:beforeAutospacing="0" w:afterAutospacing="0" w:line="0" w:lineRule="atLeast"/>
      </w:pPr>
      <w:r/>
      <w:r/>
    </w:p>
    <w:p>
      <w:pPr>
        <w:pStyle w:val="682"/>
        <w:jc w:val="center"/>
        <w:spacing w:beforeAutospacing="0" w:afterAutospacing="0" w:line="0" w:lineRule="atLeast"/>
      </w:pPr>
      <w:r/>
      <w:r/>
    </w:p>
    <w:p>
      <w:pPr>
        <w:pStyle w:val="682"/>
        <w:jc w:val="center"/>
        <w:spacing w:beforeAutospacing="0" w:afterAutospacing="0" w:line="0" w:lineRule="atLeast"/>
      </w:pPr>
      <w:r/>
      <w:r/>
    </w:p>
    <w:p>
      <w:pPr>
        <w:pStyle w:val="682"/>
        <w:jc w:val="center"/>
        <w:spacing w:beforeAutospacing="0" w:afterAutospacing="0" w:line="0" w:lineRule="atLeast"/>
      </w:pPr>
      <w:r/>
      <w:r/>
    </w:p>
    <w:p>
      <w:pPr>
        <w:pStyle w:val="682"/>
        <w:jc w:val="center"/>
        <w:spacing w:beforeAutospacing="0" w:afterAutospacing="0" w:line="0" w:lineRule="atLeast"/>
      </w:pPr>
      <w:r/>
      <w:r/>
    </w:p>
    <w:p>
      <w:pPr>
        <w:pStyle w:val="682"/>
        <w:jc w:val="center"/>
        <w:spacing w:beforeAutospacing="0" w:afterAutospacing="0" w:line="0" w:lineRule="atLeast"/>
      </w:pPr>
      <w:r/>
      <w:r/>
    </w:p>
    <w:p>
      <w:pPr>
        <w:pStyle w:val="682"/>
        <w:jc w:val="center"/>
        <w:spacing w:beforeAutospacing="0" w:afterAutospacing="0" w:line="0" w:lineRule="atLeast"/>
      </w:pPr>
      <w:r/>
      <w:r/>
    </w:p>
    <w:p>
      <w:pPr>
        <w:pStyle w:val="682"/>
        <w:jc w:val="center"/>
        <w:spacing w:beforeAutospacing="0" w:afterAutospacing="0" w:line="0" w:lineRule="atLeast"/>
      </w:pPr>
      <w:r/>
      <w:r/>
    </w:p>
    <w:p>
      <w:pPr>
        <w:pStyle w:val="682"/>
        <w:jc w:val="center"/>
        <w:spacing w:beforeAutospacing="0" w:afterAutospacing="0" w:line="0" w:lineRule="atLeast"/>
      </w:pPr>
      <w:r/>
      <w:r/>
    </w:p>
    <w:p>
      <w:pPr>
        <w:pStyle w:val="682"/>
        <w:jc w:val="center"/>
        <w:spacing w:beforeAutospacing="0" w:afterAutospacing="0" w:line="0" w:lineRule="atLeast"/>
      </w:pPr>
      <w:r/>
      <w:r/>
    </w:p>
    <w:p>
      <w:pPr>
        <w:pStyle w:val="682"/>
        <w:ind w:firstLine="321"/>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682"/>
        <w:jc w:val="center"/>
        <w:spacing w:beforeAutospacing="0" w:afterAutospacing="0" w:line="0" w:lineRule="atLeast"/>
      </w:pPr>
      <w:r>
        <w:t xml:space="preserve"> </w:t>
      </w:r>
      <w:r/>
    </w:p>
    <w:p>
      <w:pPr>
        <w:ind w:firstLine="480"/>
        <w:spacing w:line="500" w:lineRule="exact"/>
        <w:widowControl w:val="off"/>
        <w:rPr>
          <w:rFonts w:hint="eastAsia" w:ascii="宋体" w:hAnsi="宋体" w:eastAsia="宋体"/>
          <w:sz w:val="24"/>
        </w:rPr>
      </w:pPr>
      <w:r>
        <w:rPr>
          <w:rFonts w:hint="eastAsia" w:ascii="宋体" w:hAnsi="宋体" w:eastAsia="宋体"/>
          <w:sz w:val="24"/>
        </w:rPr>
        <w:t xml:space="preserve">一、法人或者其他组织的营业执照等证明文件，自然人的身份证明</w:t>
      </w:r>
      <w:r/>
    </w:p>
    <w:p>
      <w:pPr>
        <w:pStyle w:val="682"/>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rPr>
        <w:t xml:space="preserve">二、</w:t>
      </w:r>
      <w:r>
        <w:rPr>
          <w:rFonts w:hint="eastAsia" w:ascii="宋体" w:hAnsi="宋体" w:eastAsia="宋体" w:cs="宋体"/>
          <w:color w:val="000000"/>
        </w:rPr>
        <w:t xml:space="preserve">上一年度的财务状况报告（投标人2025年财务状况表未出的，可使用2024年度报表，</w:t>
      </w:r>
      <w:r>
        <w:rPr>
          <w:rFonts w:hint="eastAsia" w:ascii="宋体" w:hAnsi="宋体" w:cs="宋体"/>
        </w:rPr>
        <w:t xml:space="preserve">至少提供资产负债表、利润表、现金流量表，</w:t>
      </w:r>
      <w:r>
        <w:rPr>
          <w:rFonts w:hint="eastAsia" w:ascii="宋体" w:hAnsi="宋体" w:eastAsia="宋体" w:cs="宋体"/>
          <w:color w:val="000000"/>
        </w:rPr>
        <w:t xml:space="preserve">成立不满一年无需提供）。</w:t>
      </w:r>
      <w:r/>
    </w:p>
    <w:p>
      <w:pPr>
        <w:ind w:firstLine="480"/>
        <w:spacing w:line="500" w:lineRule="exact"/>
        <w:widowControl w:val="off"/>
        <w:rPr>
          <w:rFonts w:hint="eastAsia" w:ascii="宋体" w:hAnsi="宋体" w:eastAsia="宋体"/>
          <w:sz w:val="24"/>
        </w:rPr>
      </w:pPr>
      <w:r>
        <w:rPr>
          <w:rFonts w:hint="eastAsia" w:ascii="宋体" w:hAnsi="宋体" w:eastAsia="宋体"/>
          <w:sz w:val="24"/>
        </w:rPr>
        <w:t xml:space="preserve">三、具备履行合同所必需的设备和专业技术能力的书面声明</w:t>
      </w:r>
      <w:r/>
    </w:p>
    <w:p>
      <w:pPr>
        <w:ind w:firstLine="480"/>
        <w:spacing w:line="500" w:lineRule="exact"/>
        <w:widowControl w:val="off"/>
        <w:rPr>
          <w:rFonts w:hint="eastAsia" w:ascii="宋体" w:hAnsi="宋体" w:eastAsia="宋体"/>
          <w:sz w:val="24"/>
        </w:rPr>
      </w:pPr>
      <w:r>
        <w:rPr>
          <w:rFonts w:hint="eastAsia" w:ascii="宋体" w:hAnsi="宋体" w:eastAsia="宋体"/>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00" w:lineRule="exact"/>
        <w:widowControl w:val="off"/>
        <w:rPr>
          <w:rFonts w:hint="eastAsia" w:ascii="宋体" w:hAnsi="宋体" w:eastAsia="宋体"/>
          <w:sz w:val="24"/>
        </w:rPr>
      </w:pPr>
      <w:r>
        <w:rPr>
          <w:rFonts w:hint="eastAsia" w:ascii="宋体" w:hAnsi="宋体" w:eastAsia="宋体"/>
          <w:sz w:val="24"/>
        </w:rPr>
        <w:t xml:space="preserve">五、参加政府采购活动前 3 年内在经营活动中没有重大违法记录的书面声明</w:t>
      </w:r>
      <w:r/>
    </w:p>
    <w:p>
      <w:pPr>
        <w:ind w:firstLine="480"/>
        <w:spacing w:line="500" w:lineRule="exact"/>
        <w:widowControl w:val="off"/>
        <w:rPr>
          <w:rFonts w:hint="eastAsia" w:ascii="宋体" w:hAnsi="宋体" w:eastAsia="宋体"/>
          <w:sz w:val="24"/>
        </w:rPr>
      </w:pPr>
      <w:r>
        <w:rPr>
          <w:rFonts w:hint="eastAsia" w:ascii="宋体" w:hAnsi="宋体" w:eastAsia="宋体"/>
          <w:sz w:val="24"/>
        </w:rPr>
        <w:t xml:space="preserve">六、</w:t>
      </w:r>
      <w:r>
        <w:rPr>
          <w:rFonts w:hint="eastAsia" w:asciiTheme="minorEastAsia" w:hAnsiTheme="minorEastAsia" w:cstheme="minorEastAsia"/>
          <w:sz w:val="24"/>
        </w:rPr>
        <w:t xml:space="preserve">特定资格要求的证明文件（如果本项目设置特定资格要求，则需要提供）</w:t>
      </w:r>
      <w:r/>
    </w:p>
    <w:p>
      <w:pPr>
        <w:ind w:firstLine="480"/>
        <w:spacing w:line="500" w:lineRule="exact"/>
        <w:widowControl w:val="off"/>
        <w:rPr>
          <w:rFonts w:hint="eastAsia" w:ascii="宋体" w:hAnsi="宋体" w:eastAsia="宋体"/>
          <w:sz w:val="24"/>
        </w:rPr>
      </w:pPr>
      <w:r>
        <w:rPr>
          <w:rFonts w:hint="eastAsia" w:ascii="宋体" w:hAnsi="宋体" w:eastAsia="宋体"/>
          <w:sz w:val="24"/>
        </w:rPr>
        <w:t xml:space="preserve">七、法人授权书</w:t>
      </w:r>
      <w:r/>
    </w:p>
    <w:p>
      <w:pPr>
        <w:ind w:firstLine="480"/>
        <w:spacing w:line="500" w:lineRule="exact"/>
        <w:widowControl w:val="off"/>
        <w:rPr>
          <w:rFonts w:hint="eastAsia" w:asciiTheme="minorEastAsia" w:hAnsiTheme="minorEastAsia" w:cstheme="minorEastAsia"/>
          <w:sz w:val="24"/>
        </w:rPr>
      </w:pPr>
      <w:r>
        <w:rPr>
          <w:rFonts w:hint="eastAsia" w:asciiTheme="minorEastAsia" w:hAnsiTheme="minorEastAsia" w:cstheme="minorEastAsia"/>
          <w:sz w:val="24"/>
        </w:rPr>
        <w:t xml:space="preserve">八、投标函</w:t>
      </w:r>
      <w:r/>
    </w:p>
    <w:p>
      <w:pPr>
        <w:ind w:firstLine="480"/>
        <w:spacing w:line="500" w:lineRule="exact"/>
        <w:widowControl w:val="off"/>
        <w:rPr>
          <w:rFonts w:hint="eastAsia" w:asciiTheme="minorEastAsia" w:hAnsiTheme="minorEastAsia" w:cstheme="minorEastAsia"/>
          <w:sz w:val="24"/>
        </w:rPr>
      </w:pPr>
      <w:r>
        <w:rPr>
          <w:rFonts w:hint="eastAsia" w:asciiTheme="minorEastAsia" w:hAnsiTheme="minorEastAsia" w:cstheme="minorEastAsia"/>
          <w:sz w:val="24"/>
        </w:rPr>
        <w:t xml:space="preserve">九、中小企业声明函</w:t>
      </w:r>
      <w:r/>
    </w:p>
    <w:p>
      <w:pPr>
        <w:ind w:firstLine="480"/>
        <w:spacing w:line="500" w:lineRule="exact"/>
        <w:widowControl w:val="off"/>
        <w:rPr>
          <w:rFonts w:hint="eastAsia" w:asciiTheme="minorEastAsia" w:hAnsiTheme="minorEastAsia" w:cstheme="minorEastAsia"/>
          <w:sz w:val="24"/>
        </w:rPr>
      </w:pPr>
      <w:r>
        <w:rPr>
          <w:rFonts w:hint="eastAsia" w:asciiTheme="minorEastAsia" w:hAnsiTheme="minorEastAsia" w:cstheme="minorEastAsia"/>
          <w:sz w:val="24"/>
        </w:rPr>
        <w:t xml:space="preserve">十、残疾人福利性单位声明函</w:t>
      </w:r>
      <w:r/>
    </w:p>
    <w:p>
      <w:pPr>
        <w:ind w:firstLine="480"/>
        <w:spacing w:line="500" w:lineRule="exact"/>
        <w:widowControl w:val="off"/>
        <w:rPr>
          <w:rFonts w:hint="eastAsia" w:asciiTheme="minorEastAsia" w:hAnsiTheme="minorEastAsia" w:cstheme="minorEastAsia"/>
          <w:sz w:val="24"/>
        </w:rPr>
      </w:pPr>
      <w:r>
        <w:rPr>
          <w:rFonts w:hint="eastAsia" w:asciiTheme="minorEastAsia" w:hAnsiTheme="minorEastAsia" w:cstheme="minorEastAsia"/>
          <w:sz w:val="24"/>
        </w:rPr>
        <w:t xml:space="preserve">十一、关于符合本国产品标准的声明函</w:t>
      </w:r>
      <w:r/>
    </w:p>
    <w:p>
      <w:pPr>
        <w:ind w:firstLine="480"/>
        <w:spacing w:line="500" w:lineRule="exact"/>
        <w:widowControl w:val="off"/>
        <w:rPr>
          <w:rFonts w:hint="eastAsia" w:asciiTheme="minorEastAsia" w:hAnsiTheme="minorEastAsia" w:cstheme="minorEastAsia"/>
          <w:sz w:val="24"/>
        </w:rPr>
      </w:pPr>
      <w:r>
        <w:rPr>
          <w:rFonts w:hint="eastAsia" w:asciiTheme="minorEastAsia" w:hAnsiTheme="minorEastAsia" w:cstheme="minorEastAsia"/>
          <w:sz w:val="24"/>
        </w:rPr>
        <w:t xml:space="preserve">十二、投标分项报价表</w:t>
      </w:r>
      <w:r/>
    </w:p>
    <w:p>
      <w:pPr>
        <w:ind w:firstLine="480"/>
        <w:spacing w:line="500" w:lineRule="exact"/>
        <w:widowControl w:val="off"/>
        <w:rPr>
          <w:rFonts w:hint="eastAsia" w:asciiTheme="minorEastAsia" w:hAnsiTheme="minorEastAsia" w:cstheme="minorEastAsia"/>
          <w:sz w:val="24"/>
        </w:rPr>
      </w:pPr>
      <w:r>
        <w:rPr>
          <w:rFonts w:hint="eastAsia" w:asciiTheme="minorEastAsia" w:hAnsiTheme="minorEastAsia" w:cstheme="minorEastAsia"/>
          <w:sz w:val="24"/>
        </w:rPr>
        <w:t xml:space="preserve">十三、</w:t>
      </w:r>
      <w:bookmarkStart w:id="184" w:name="OLE_LINK24"/>
      <w:r>
        <w:rPr>
          <w:rFonts w:hint="eastAsia" w:asciiTheme="minorEastAsia" w:hAnsiTheme="minorEastAsia" w:cstheme="minorEastAsia"/>
          <w:sz w:val="24"/>
        </w:rPr>
        <w:t xml:space="preserve">技术要求响应及偏离表</w:t>
      </w:r>
      <w:bookmarkEnd w:id="184"/>
      <w:r/>
      <w:r/>
    </w:p>
    <w:p>
      <w:pPr>
        <w:ind w:firstLine="480"/>
        <w:spacing w:line="500" w:lineRule="exact"/>
        <w:widowControl w:val="off"/>
        <w:rPr>
          <w:rFonts w:hint="eastAsia" w:asciiTheme="minorEastAsia" w:hAnsiTheme="minorEastAsia" w:cstheme="minorEastAsia"/>
          <w:sz w:val="24"/>
        </w:rPr>
      </w:pPr>
      <w:r>
        <w:rPr>
          <w:rFonts w:hint="eastAsia" w:asciiTheme="minorEastAsia" w:hAnsiTheme="minorEastAsia" w:cstheme="minorEastAsia"/>
          <w:sz w:val="24"/>
        </w:rPr>
        <w:t xml:space="preserve">十四、</w:t>
      </w:r>
      <w:bookmarkStart w:id="185" w:name="OLE_LINK21"/>
      <w:r/>
      <w:bookmarkStart w:id="186" w:name="OLE_LINK22"/>
      <w:r>
        <w:rPr>
          <w:rFonts w:hint="eastAsia" w:asciiTheme="minorEastAsia" w:hAnsiTheme="minorEastAsia" w:cstheme="minorEastAsia"/>
          <w:sz w:val="24"/>
        </w:rPr>
        <w:t xml:space="preserve">商务要求响应及偏离表</w:t>
      </w:r>
      <w:bookmarkEnd w:id="185"/>
      <w:r/>
      <w:bookmarkEnd w:id="186"/>
      <w:r/>
      <w:r/>
    </w:p>
    <w:p>
      <w:pPr>
        <w:ind w:firstLine="480"/>
        <w:spacing w:line="500" w:lineRule="exact"/>
        <w:widowControl w:val="off"/>
        <w:rPr>
          <w:rFonts w:hint="eastAsia" w:asciiTheme="minorEastAsia" w:hAnsiTheme="minorEastAsia" w:cstheme="minorEastAsia"/>
          <w:sz w:val="24"/>
        </w:rPr>
      </w:pPr>
      <w:r>
        <w:rPr>
          <w:rFonts w:hint="eastAsia" w:asciiTheme="minorEastAsia" w:hAnsiTheme="minorEastAsia" w:cstheme="minorEastAsia"/>
          <w:sz w:val="24"/>
        </w:rPr>
        <w:t xml:space="preserve">十五、开标一览表</w:t>
      </w:r>
      <w:r/>
    </w:p>
    <w:p>
      <w:pPr>
        <w:ind w:firstLine="480"/>
        <w:spacing w:line="500" w:lineRule="exact"/>
        <w:widowControl w:val="off"/>
        <w:rPr>
          <w:rFonts w:hint="eastAsia" w:asciiTheme="minorEastAsia" w:hAnsiTheme="minorEastAsia" w:cstheme="minorEastAsia"/>
          <w:sz w:val="24"/>
        </w:rPr>
      </w:pPr>
      <w:r>
        <w:rPr>
          <w:rFonts w:hint="eastAsia" w:asciiTheme="minorEastAsia" w:hAnsiTheme="minorEastAsia" w:cstheme="minorEastAsia"/>
          <w:sz w:val="24"/>
        </w:rPr>
        <w:t xml:space="preserve">十六、技术方案、服务承诺、培训承诺等</w:t>
      </w:r>
      <w:r/>
    </w:p>
    <w:p>
      <w:pPr>
        <w:ind w:firstLine="480"/>
        <w:spacing w:line="500" w:lineRule="exact"/>
        <w:widowControl w:val="off"/>
        <w:rPr>
          <w:rFonts w:hint="eastAsia" w:asciiTheme="minorEastAsia" w:hAnsiTheme="minorEastAsia" w:cstheme="minorEastAsia"/>
          <w:sz w:val="24"/>
        </w:rPr>
      </w:pPr>
      <w:r>
        <w:rPr>
          <w:rFonts w:hint="eastAsia" w:asciiTheme="minorEastAsia" w:hAnsiTheme="minorEastAsia" w:cstheme="minorEastAsia"/>
          <w:sz w:val="24"/>
        </w:rPr>
        <w:t xml:space="preserve">十七、盐城市政府采购事前信用承诺书 </w:t>
      </w:r>
      <w:r/>
    </w:p>
    <w:p>
      <w:pPr>
        <w:pStyle w:val="682"/>
        <w:ind w:firstLine="480"/>
        <w:jc w:val="both"/>
        <w:spacing w:beforeAutospacing="0" w:after="100" w:line="0" w:lineRule="atLeast"/>
      </w:pPr>
      <w:r>
        <w:t xml:space="preserve"> </w:t>
      </w:r>
      <w:r/>
    </w:p>
    <w:p>
      <w:pPr>
        <w:pStyle w:val="682"/>
        <w:ind w:firstLine="480"/>
        <w:jc w:val="both"/>
        <w:spacing w:beforeAutospacing="0" w:afterAutospacing="0" w:line="0" w:lineRule="atLeast"/>
      </w:pPr>
      <w:r>
        <w:t xml:space="preserve"> </w:t>
      </w:r>
      <w:r/>
    </w:p>
    <w:p>
      <w:pPr>
        <w:pStyle w:val="682"/>
        <w:ind w:firstLine="480"/>
        <w:jc w:val="both"/>
        <w:spacing w:beforeAutospacing="0" w:afterAutospacing="0" w:line="0" w:lineRule="atLeast"/>
      </w:pPr>
      <w:r>
        <w:t xml:space="preserve"> </w:t>
      </w:r>
      <w:r/>
    </w:p>
    <w:p>
      <w:pPr>
        <w:pStyle w:val="682"/>
        <w:ind w:firstLine="480"/>
        <w:jc w:val="both"/>
        <w:spacing w:beforeAutospacing="0" w:afterAutospacing="0" w:line="0" w:lineRule="atLeast"/>
      </w:pPr>
      <w:r>
        <w:t xml:space="preserve"> </w:t>
      </w:r>
      <w:r/>
    </w:p>
    <w:p>
      <w:pPr>
        <w:rPr>
          <w:rFonts w:ascii="方正小标宋_GBK" w:hAnsi="方正小标宋_GBK" w:eastAsia="方正小标宋_GBK" w:cs="方正小标宋_GBK"/>
          <w:i/>
          <w:iCs/>
          <w:color w:val="000000"/>
          <w:sz w:val="32"/>
          <w:szCs w:val="32"/>
          <w:u w:val="single"/>
        </w:rPr>
      </w:pPr>
      <w:r>
        <w:rPr>
          <w:rFonts w:hint="eastAsia" w:ascii="方正小标宋_GBK" w:hAnsi="方正小标宋_GBK" w:eastAsia="方正小标宋_GBK" w:cs="方正小标宋_GBK"/>
          <w:i/>
          <w:iCs/>
          <w:color w:val="000000"/>
          <w:sz w:val="32"/>
          <w:szCs w:val="32"/>
          <w:u w:val="single"/>
        </w:rPr>
        <w:br w:type="page" w:clear="all"/>
      </w:r>
      <w:r/>
    </w:p>
    <w:p>
      <w:pPr>
        <w:pStyle w:val="682"/>
        <w:ind w:firstLine="0"/>
        <w:jc w:val="center"/>
        <w:spacing w:beforeAutospacing="0" w:afterAutospacing="0" w:line="0" w:lineRule="atLeast"/>
        <w:rPr>
          <w:rFonts w:ascii="方正小标宋_GBK" w:hAnsi="方正小标宋_GBK" w:eastAsia="方正小标宋_GBK" w:cs="方正小标宋_GBK"/>
          <w:i/>
          <w:iCs/>
          <w:color w:val="000000"/>
          <w:sz w:val="32"/>
          <w:szCs w:val="32"/>
          <w:u w:val="single"/>
        </w:rPr>
        <w:outlineLvl w:val="1"/>
      </w:pPr>
      <w:r>
        <w:rPr>
          <w:rFonts w:hint="eastAsia" w:ascii="方正小标宋_GBK" w:hAnsi="方正小标宋_GBK" w:eastAsia="方正小标宋_GBK" w:cs="方正小标宋_GBK"/>
          <w:i/>
          <w:iCs/>
          <w:color w:val="000000"/>
          <w:sz w:val="32"/>
          <w:szCs w:val="32"/>
          <w:u w:val="single"/>
        </w:rPr>
        <w:t xml:space="preserve">一、法人或者其他组织的营业执照等证明文件，自然人的身份证明</w:t>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ind w:firstLine="480"/>
        <w:jc w:val="both"/>
        <w:spacing w:beforeAutospacing="0" w:afterAutospacing="0" w:line="0" w:lineRule="atLeast"/>
      </w:pPr>
      <w:r>
        <w:t xml:space="preserve"> </w:t>
      </w:r>
      <w:bookmarkEnd w:id="6"/>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176"/>
      <w:r/>
      <w:bookmarkEnd w:id="181"/>
      <w:r/>
      <w:bookmarkEnd w:id="182"/>
      <w:r/>
      <w:bookmarkEnd w:id="183"/>
      <w:r/>
      <w:r/>
    </w:p>
    <w:p>
      <w:pPr>
        <w:pStyle w:val="682"/>
        <w:spacing w:beforeAutospacing="0" w:afterAutospacing="0"/>
      </w:pPr>
      <w:r/>
      <w:r/>
    </w:p>
    <w:p>
      <w:pPr>
        <w:pStyle w:val="682"/>
        <w:spacing w:beforeAutospacing="0" w:afterAutospacing="0"/>
      </w:pPr>
      <w:r/>
      <w:r/>
    </w:p>
    <w:p>
      <w:pPr>
        <w:pStyle w:val="682"/>
        <w:spacing w:beforeAutospacing="0" w:afterAutospacing="0"/>
      </w:pPr>
      <w:r/>
      <w:r/>
    </w:p>
    <w:p>
      <w:pPr>
        <w:pStyle w:val="682"/>
        <w:spacing w:beforeAutospacing="0" w:afterAutospacing="0"/>
      </w:pPr>
      <w:r/>
      <w:r/>
    </w:p>
    <w:p>
      <w:pPr>
        <w:pStyle w:val="682"/>
        <w:spacing w:beforeAutospacing="0" w:afterAutospacing="0"/>
      </w:pPr>
      <w:r/>
      <w:r/>
    </w:p>
    <w:p>
      <w:pPr>
        <w:pStyle w:val="682"/>
        <w:spacing w:beforeAutospacing="0" w:afterAutospacing="0"/>
      </w:pPr>
      <w:r/>
      <w:r/>
    </w:p>
    <w:p>
      <w:pPr>
        <w:pStyle w:val="682"/>
        <w:spacing w:beforeAutospacing="0" w:afterAutospacing="0"/>
      </w:pPr>
      <w:r/>
      <w:r/>
    </w:p>
    <w:p>
      <w:pPr>
        <w:pStyle w:val="682"/>
        <w:spacing w:beforeAutospacing="0" w:afterAutospacing="0"/>
      </w:pPr>
      <w:r/>
      <w:r/>
    </w:p>
    <w:p>
      <w:pPr>
        <w:pStyle w:val="682"/>
        <w:spacing w:beforeAutospacing="0" w:afterAutospacing="0"/>
      </w:pPr>
      <w:r/>
      <w:r/>
    </w:p>
    <w:p>
      <w:pPr>
        <w:pStyle w:val="682"/>
        <w:spacing w:beforeAutospacing="0" w:afterAutospacing="0"/>
      </w:pPr>
      <w:r/>
      <w:r/>
    </w:p>
    <w:p>
      <w:pPr>
        <w:pStyle w:val="682"/>
        <w:spacing w:beforeAutospacing="0" w:afterAutospacing="0"/>
      </w:pPr>
      <w:r/>
      <w:r/>
    </w:p>
    <w:p>
      <w:pPr>
        <w:pStyle w:val="682"/>
        <w:spacing w:beforeAutospacing="0" w:afterAutospacing="0"/>
      </w:pPr>
      <w:r/>
      <w:r/>
    </w:p>
    <w:p>
      <w:pPr>
        <w:pStyle w:val="682"/>
        <w:spacing w:beforeAutospacing="0" w:afterAutospacing="0"/>
      </w:pPr>
      <w:r/>
      <w:r/>
    </w:p>
    <w:p>
      <w:pPr>
        <w:pStyle w:val="682"/>
        <w:spacing w:beforeAutospacing="0" w:afterAutospacing="0"/>
      </w:pPr>
      <w:r/>
      <w:r/>
    </w:p>
    <w:p>
      <w:pPr>
        <w:pStyle w:val="682"/>
        <w:spacing w:beforeAutospacing="0" w:afterAutospacing="0"/>
      </w:pPr>
      <w:r/>
      <w:r/>
    </w:p>
    <w:p>
      <w:pPr>
        <w:pStyle w:val="682"/>
        <w:spacing w:beforeAutospacing="0" w:afterAutospacing="0"/>
      </w:pPr>
      <w:r/>
      <w:r/>
    </w:p>
    <w:p>
      <w:pPr>
        <w:pStyle w:val="682"/>
        <w:spacing w:beforeAutospacing="0" w:afterAutospacing="0"/>
      </w:pPr>
      <w:r/>
      <w:r/>
    </w:p>
    <w:p>
      <w:pPr>
        <w:pStyle w:val="682"/>
        <w:spacing w:beforeAutospacing="0" w:afterAutospacing="0"/>
      </w:pPr>
      <w:r/>
      <w:r/>
    </w:p>
    <w:p>
      <w:pPr>
        <w:pStyle w:val="682"/>
        <w:spacing w:beforeAutospacing="0" w:afterAutospacing="0"/>
      </w:pPr>
      <w:r/>
      <w:r/>
    </w:p>
    <w:p>
      <w:pPr>
        <w:pStyle w:val="682"/>
        <w:spacing w:beforeAutospacing="0" w:afterAutospacing="0"/>
      </w:pPr>
      <w:r/>
      <w:r/>
    </w:p>
    <w:p>
      <w:pPr>
        <w:pStyle w:val="682"/>
        <w:spacing w:beforeAutospacing="0" w:afterAutospacing="0"/>
      </w:pPr>
      <w:r/>
      <w:r/>
    </w:p>
    <w:p>
      <w:pPr>
        <w:pStyle w:val="682"/>
        <w:spacing w:beforeAutospacing="0" w:afterAutospacing="0"/>
      </w:pPr>
      <w:r/>
      <w:r/>
    </w:p>
    <w:p>
      <w:pPr>
        <w:pStyle w:val="682"/>
        <w:spacing w:beforeAutospacing="0" w:afterAutospacing="0"/>
      </w:pPr>
      <w:r/>
      <w:r/>
    </w:p>
    <w:p>
      <w:pPr>
        <w:pStyle w:val="682"/>
        <w:spacing w:beforeAutospacing="0" w:afterAutospacing="0"/>
      </w:pPr>
      <w:r/>
      <w:r/>
    </w:p>
    <w:p>
      <w:pPr>
        <w:pStyle w:val="682"/>
        <w:spacing w:beforeAutospacing="0" w:afterAutospacing="0"/>
      </w:pPr>
      <w:r/>
      <w:r/>
    </w:p>
    <w:p>
      <w:pPr>
        <w:pStyle w:val="682"/>
        <w:spacing w:beforeAutospacing="0" w:afterAutospacing="0"/>
      </w:pPr>
      <w:r/>
      <w:r/>
    </w:p>
    <w:p>
      <w:pPr>
        <w:pStyle w:val="682"/>
        <w:spacing w:beforeAutospacing="0" w:afterAutospacing="0"/>
      </w:pPr>
      <w:r/>
      <w:r/>
    </w:p>
    <w:p>
      <w:pPr>
        <w:pStyle w:val="682"/>
        <w:spacing w:beforeAutospacing="0" w:afterAutospacing="0"/>
      </w:pPr>
      <w:r/>
      <w:r/>
    </w:p>
    <w:p>
      <w:pPr>
        <w:pStyle w:val="682"/>
        <w:spacing w:beforeAutospacing="0" w:afterAutospacing="0"/>
      </w:pPr>
      <w:r/>
      <w:r/>
    </w:p>
    <w:p>
      <w:pPr>
        <w:pStyle w:val="682"/>
        <w:spacing w:beforeAutospacing="0" w:afterAutospacing="0"/>
      </w:pPr>
      <w:r/>
      <w:r/>
    </w:p>
    <w:p>
      <w:pPr>
        <w:pStyle w:val="682"/>
        <w:spacing w:beforeAutospacing="0" w:afterAutospacing="0"/>
      </w:pPr>
      <w:r/>
      <w:r/>
    </w:p>
    <w:p>
      <w:pPr>
        <w:pStyle w:val="682"/>
        <w:spacing w:beforeAutospacing="0" w:afterAutospacing="0"/>
      </w:pPr>
      <w:r/>
      <w:r/>
    </w:p>
    <w:p>
      <w:pPr>
        <w:pStyle w:val="682"/>
        <w:spacing w:beforeAutospacing="0" w:afterAutospacing="0"/>
      </w:pPr>
      <w:r/>
      <w:r/>
    </w:p>
    <w:p>
      <w:pPr>
        <w:pStyle w:val="682"/>
        <w:spacing w:beforeAutospacing="0" w:afterAutospacing="0"/>
      </w:pPr>
      <w:r/>
      <w:r/>
    </w:p>
    <w:p>
      <w:pPr>
        <w:pStyle w:val="682"/>
        <w:spacing w:beforeAutospacing="0" w:afterAutospacing="0"/>
      </w:pPr>
      <w:r/>
      <w:r/>
    </w:p>
    <w:p>
      <w:pPr>
        <w:pStyle w:val="682"/>
        <w:spacing w:beforeAutospacing="0" w:afterAutospacing="0"/>
      </w:pPr>
      <w:r/>
      <w:r/>
    </w:p>
    <w:p>
      <w:pPr>
        <w:pStyle w:val="682"/>
        <w:spacing w:beforeAutospacing="0" w:afterAutospacing="0"/>
      </w:pPr>
      <w:r/>
      <w:r/>
    </w:p>
    <w:p>
      <w:pPr>
        <w:pStyle w:val="682"/>
        <w:spacing w:beforeAutospacing="0" w:afterAutospacing="0"/>
      </w:pPr>
      <w:r/>
      <w:r/>
    </w:p>
    <w:p>
      <w:pPr>
        <w:pStyle w:val="682"/>
        <w:spacing w:beforeAutospacing="0" w:afterAutospacing="0"/>
      </w:pPr>
      <w:r/>
      <w:r/>
    </w:p>
    <w:p>
      <w:pPr>
        <w:pStyle w:val="682"/>
        <w:spacing w:beforeAutospacing="0" w:afterAutospacing="0"/>
      </w:pPr>
      <w:r/>
      <w:r/>
    </w:p>
    <w:p>
      <w:pPr>
        <w:pStyle w:val="682"/>
        <w:spacing w:beforeAutospacing="0" w:afterAutospacing="0"/>
      </w:pPr>
      <w:r/>
      <w:r/>
    </w:p>
    <w:p>
      <w:pPr>
        <w:ind w:firstLine="0"/>
        <w:jc w:val="center"/>
        <w:spacing w:line="560" w:lineRule="exact"/>
        <w:rPr>
          <w:rFonts w:hint="eastAsia" w:ascii="黑体" w:hAnsi="黑体" w:eastAsia="黑体" w:cs="黑体"/>
          <w:i/>
          <w:sz w:val="32"/>
          <w:szCs w:val="32"/>
          <w:u w:val="single"/>
        </w:rPr>
        <w:outlineLvl w:val="1"/>
      </w:pPr>
      <w:r>
        <w:rPr>
          <w:rFonts w:hint="eastAsia" w:ascii="黑体" w:hAnsi="黑体" w:eastAsia="黑体" w:cs="黑体"/>
          <w:i/>
          <w:sz w:val="32"/>
          <w:szCs w:val="32"/>
          <w:u w:val="single"/>
        </w:rPr>
        <w:t xml:space="preserve">二、</w:t>
      </w:r>
      <w:bookmarkStart w:id="187" w:name="OLE_LINK64"/>
      <w:r>
        <w:rPr>
          <w:rFonts w:hint="eastAsia" w:ascii="黑体" w:hAnsi="黑体" w:eastAsia="黑体" w:cs="黑体"/>
          <w:i/>
          <w:sz w:val="32"/>
          <w:szCs w:val="32"/>
          <w:u w:val="single"/>
        </w:rPr>
        <w:t xml:space="preserve">上一年度的财务状况报表</w:t>
      </w:r>
      <w:bookmarkEnd w:id="187"/>
      <w:r/>
      <w:r/>
    </w:p>
    <w:p>
      <w:pPr>
        <w:pStyle w:val="682"/>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投标人2025年财务状况表未出的，可使用2024年度报表，至少提供资产负债表、利润表、现金流量表，成立不满一年无需提供</w:t>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ind w:firstLine="0"/>
        <w:jc w:val="center"/>
        <w:spacing w:line="560" w:lineRule="exact"/>
        <w:rPr>
          <w:rFonts w:hint="eastAsia" w:ascii="黑体" w:hAnsi="黑体" w:eastAsia="黑体" w:cs="黑体"/>
          <w:i/>
          <w:sz w:val="32"/>
          <w:szCs w:val="32"/>
          <w:u w:val="single"/>
        </w:rPr>
        <w:outlineLvl w:val="1"/>
      </w:pPr>
      <w:r>
        <w:rPr>
          <w:rFonts w:hint="eastAsia" w:ascii="黑体" w:hAnsi="黑体" w:eastAsia="黑体" w:cs="黑体"/>
          <w:i/>
          <w:sz w:val="32"/>
          <w:szCs w:val="32"/>
          <w:u w:val="single"/>
        </w:rPr>
        <w:t xml:space="preserve">三、具备履行合同所必需的设备和专业技术能力的书面声明</w:t>
      </w:r>
      <w:r/>
    </w:p>
    <w:p>
      <w:pPr>
        <w:pStyle w:val="682"/>
        <w:ind w:firstLine="960"/>
        <w:jc w:val="both"/>
        <w:spacing w:beforeAutospacing="0" w:afterAutospacing="0"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682"/>
        <w:ind w:firstLine="492"/>
        <w:jc w:val="both"/>
        <w:spacing w:beforeAutospacing="0" w:afterAutospacing="0" w:line="500" w:lineRule="exac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682"/>
        <w:ind w:firstLine="492"/>
        <w:jc w:val="both"/>
        <w:spacing w:beforeAutospacing="0" w:afterAutospacing="0" w:line="500" w:lineRule="exac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82"/>
        <w:jc w:val="both"/>
        <w:spacing w:beforeAutospacing="0" w:afterAutospacing="0" w:line="500" w:lineRule="exact"/>
        <w:rPr>
          <w:rFonts w:cs="黑体"/>
          <w:iCs/>
          <w:sz w:val="32"/>
          <w:szCs w:val="32"/>
          <w:shd w:val="clear" w:color="auto" w:fill="ffffff" w:themeFill="background1"/>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ind w:firstLine="5843"/>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jc w:val="center"/>
        <w:spacing w:line="560" w:lineRule="exact"/>
        <w:rPr>
          <w:rFonts w:hint="eastAsia" w:ascii="黑体" w:hAnsi="黑体" w:eastAsia="黑体" w:cs="黑体"/>
          <w:i/>
          <w:sz w:val="32"/>
          <w:szCs w:val="32"/>
          <w:u w:val="single"/>
        </w:rPr>
        <w:outlineLvl w:val="1"/>
      </w:pPr>
      <w:r>
        <w:rPr>
          <w:rFonts w:hint="eastAsia" w:ascii="黑体" w:hAnsi="黑体" w:eastAsia="黑体" w:cs="黑体"/>
          <w:i/>
          <w:sz w:val="32"/>
          <w:szCs w:val="32"/>
          <w:u w:val="single"/>
        </w:rPr>
        <w:t xml:space="preserve">四、依法缴纳税收和社会保障资金的相关材料</w:t>
      </w:r>
      <w:r/>
    </w:p>
    <w:p>
      <w:pPr>
        <w:pStyle w:val="682"/>
        <w:ind w:firstLine="1280"/>
        <w:jc w:val="both"/>
        <w:spacing w:beforeAutospacing="0" w:afterAutospacing="0" w:line="0" w:lineRule="atLeas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682"/>
        <w:ind w:firstLine="480"/>
        <w:jc w:val="both"/>
        <w:spacing w:line="560" w:lineRule="exact"/>
        <w:rPr>
          <w:rFonts w:hint="eastAsia" w:asciiTheme="minorEastAsia" w:hAnsiTheme="minorEastAsia" w:cstheme="minorEastAsia"/>
        </w:rPr>
      </w:pPr>
      <w:r>
        <w:rPr>
          <w:rFonts w:hint="eastAsia" w:asciiTheme="minorEastAsia" w:hAnsiTheme="minorEastAsia" w:cstheme="minorEastAsia"/>
        </w:rPr>
        <w:t xml:space="preserve">提供提交响应文件截止时间前一年内至少一个月依法缴纳税收及缴纳社会保障资金的证明材料。供应商依法享受缓缴、免缴税收、社会保障资金的提供证明材料。</w:t>
      </w:r>
      <w:r/>
    </w:p>
    <w:p>
      <w:pPr>
        <w:pStyle w:val="682"/>
        <w:jc w:val="both"/>
        <w:spacing w:line="500" w:lineRule="exact"/>
        <w:rPr>
          <w:shd w:val="clear" w:color="auto" w:fill="ffffff" w:themeFill="background1"/>
        </w:rPr>
      </w:pPr>
      <w:r>
        <w:rPr>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682"/>
        <w:jc w:val="both"/>
        <w:rPr>
          <w:rFonts w:cs="黑体"/>
          <w:iCs/>
          <w:sz w:val="32"/>
          <w:szCs w:val="32"/>
          <w:shd w:val="clear" w:color="auto" w:fill="ffffff" w:themeFill="background1"/>
        </w:rPr>
      </w:pPr>
      <w:r>
        <w:rPr>
          <w:rFonts w:cs="黑体"/>
          <w:iCs/>
          <w:sz w:val="32"/>
          <w:szCs w:val="32"/>
          <w:shd w:val="clear" w:color="auto" w:fill="ffffff" w:themeFill="background1"/>
        </w:rPr>
      </w:r>
      <w:r/>
    </w:p>
    <w:p>
      <w:pPr>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br w:type="page" w:clear="all"/>
      </w:r>
      <w:r/>
    </w:p>
    <w:p>
      <w:pPr>
        <w:pStyle w:val="682"/>
        <w:ind w:firstLine="0"/>
        <w:jc w:val="center"/>
        <w:spacing w:beforeAutospacing="0" w:afterAutospacing="0" w:line="0" w:lineRule="atLeast"/>
        <w:rPr>
          <w:rFonts w:ascii="方正小标宋_GBK" w:hAnsi="方正小标宋_GBK" w:eastAsia="方正小标宋_GBK" w:cs="方正小标宋_GBK"/>
          <w:color w:val="000000"/>
          <w:sz w:val="32"/>
          <w:szCs w:val="32"/>
        </w:rPr>
        <w:outlineLvl w:val="1"/>
      </w:pPr>
      <w:r>
        <w:rPr>
          <w:rFonts w:hint="eastAsia" w:ascii="黑体" w:hAnsi="黑体" w:eastAsia="黑体" w:cs="黑体"/>
          <w:i/>
          <w:sz w:val="32"/>
          <w:szCs w:val="32"/>
          <w:u w:val="single"/>
        </w:rPr>
        <w:t xml:space="preserve">五、参加政府采购活动前3年内在经营活动中没有重大违法记录的书面声明</w:t>
      </w:r>
      <w:r/>
    </w:p>
    <w:p>
      <w:pPr>
        <w:pStyle w:val="682"/>
        <w:ind w:firstLine="442"/>
        <w:jc w:val="center"/>
        <w:spacing w:line="0" w:lineRule="atLeast"/>
        <w:rPr>
          <w:shd w:val="clear" w:color="auto" w:fill="ffffff" w:themeFill="background1"/>
        </w:rPr>
      </w:pPr>
      <w:r>
        <w:rPr>
          <w:rFonts w:hint="eastAsia"/>
          <w:b/>
          <w:sz w:val="44"/>
          <w:szCs w:val="44"/>
          <w:shd w:val="clear" w:color="auto" w:fill="ffffff" w:themeFill="background1"/>
        </w:rPr>
        <w:t xml:space="preserve">声  明</w:t>
      </w:r>
      <w:r/>
    </w:p>
    <w:p>
      <w:pPr>
        <w:pStyle w:val="682"/>
        <w:ind w:firstLine="241"/>
        <w:jc w:val="both"/>
        <w:spacing w:line="0" w:lineRule="atLeast"/>
        <w:rPr>
          <w:shd w:val="clear" w:color="auto" w:fill="ffffff" w:themeFill="background1"/>
        </w:rPr>
      </w:pPr>
      <w:r>
        <w:rPr>
          <w:rFonts w:hint="eastAsia"/>
          <w:b/>
          <w:shd w:val="clear" w:color="auto" w:fill="ffffff" w:themeFill="background1"/>
        </w:rPr>
        <w:t xml:space="preserve">    </w:t>
      </w:r>
      <w:r>
        <w:rPr>
          <w:rFonts w:hint="eastAsia"/>
          <w:shd w:val="clear" w:color="auto" w:fill="ffffff" w:themeFill="background1"/>
        </w:rPr>
        <w:t xml:space="preserve">我单位郑重声明：参加本次政府采购活动前 3 年内，我单位在经营活动中没有因违法经营受到刑事处罚或者责令停产停业、吊销许可证或者执照、较大数额罚款等行政处罚。</w:t>
      </w:r>
      <w:r/>
    </w:p>
    <w:p>
      <w:pPr>
        <w:pStyle w:val="682"/>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682"/>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682"/>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682"/>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682"/>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682"/>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682"/>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682"/>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682"/>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682"/>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682"/>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682"/>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682"/>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682"/>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682"/>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spacing w:line="560" w:lineRule="exact"/>
        <w:rPr>
          <w:rFonts w:hint="eastAsia" w:ascii="黑体" w:hAnsi="黑体" w:eastAsia="黑体" w:cs="黑体"/>
          <w:i/>
          <w:sz w:val="32"/>
          <w:szCs w:val="32"/>
          <w:u w:val="single"/>
        </w:rPr>
        <w:outlineLvl w:val="1"/>
      </w:pPr>
      <w:r>
        <w:rPr>
          <w:rFonts w:hint="eastAsia" w:ascii="黑体" w:hAnsi="黑体" w:eastAsia="黑体" w:cs="黑体"/>
          <w:i/>
          <w:sz w:val="32"/>
          <w:szCs w:val="32"/>
          <w:u w:val="single"/>
        </w:rPr>
        <w:t xml:space="preserve">六、特定资格要求的证明文件</w:t>
      </w:r>
      <w:r/>
    </w:p>
    <w:p>
      <w:pPr>
        <w:pStyle w:val="682"/>
        <w:jc w:val="center"/>
        <w:rPr>
          <w:rFonts w:hint="eastAsia" w:ascii="宋体" w:hAnsi="宋体" w:eastAsia="宋体" w:cs="宋体"/>
        </w:rPr>
      </w:pPr>
      <w:r>
        <w:rPr>
          <w:rFonts w:hint="eastAsia" w:ascii="宋体" w:hAnsi="宋体" w:eastAsia="宋体" w:cs="宋体"/>
        </w:rPr>
        <w:t xml:space="preserve">如果本项目申请人的特定资格要求中要求提供的，必须提供。</w:t>
      </w:r>
      <w:r/>
    </w:p>
    <w:p>
      <w:pPr>
        <w:jc w:val="center"/>
        <w:spacing w:before="100" w:after="100"/>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682"/>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682"/>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682"/>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682"/>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682"/>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682"/>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682"/>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682"/>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682"/>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682"/>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682"/>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682"/>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682"/>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682"/>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682"/>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682"/>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682"/>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682"/>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682"/>
        <w:ind w:firstLine="320"/>
        <w:jc w:val="center"/>
        <w:spacing w:beforeAutospacing="0" w:afterAutospacing="0"/>
        <w:rPr>
          <w:rFonts w:ascii="方正小标宋_GBK" w:hAnsi="方正小标宋_GBK" w:eastAsia="方正小标宋_GBK" w:cs="方正小标宋_GBK"/>
          <w:color w:val="000000"/>
          <w:sz w:val="32"/>
          <w:szCs w:val="32"/>
        </w:rPr>
        <w:outlineLvl w:val="1"/>
      </w:pPr>
      <w:r/>
      <w:bookmarkStart w:id="188" w:name="OLE_LINK66"/>
      <w:r>
        <w:rPr>
          <w:rFonts w:hint="eastAsia" w:ascii="黑体" w:hAnsi="黑体" w:eastAsia="黑体" w:cs="黑体"/>
          <w:i/>
          <w:sz w:val="32"/>
          <w:szCs w:val="32"/>
          <w:u w:val="single"/>
        </w:rPr>
        <w:t xml:space="preserve">七、法人授权书</w:t>
      </w:r>
      <w:r/>
    </w:p>
    <w:p>
      <w:pPr>
        <w:pStyle w:val="682"/>
        <w:ind w:firstLine="480"/>
        <w:jc w:val="both"/>
        <w:spacing w:line="560" w:lineRule="exact"/>
        <w:rPr>
          <w:rFonts w:hint="eastAsia" w:asciiTheme="minorEastAsia" w:hAnsiTheme="minorEastAsia" w:cstheme="minorEastAsia"/>
        </w:rPr>
      </w:pPr>
      <w:r/>
      <w:bookmarkStart w:id="189" w:name="_Hlt26955070"/>
      <w:r/>
      <w:bookmarkStart w:id="190" w:name="_Hlt26671380"/>
      <w:r/>
      <w:bookmarkStart w:id="191" w:name="_格式3__银行出具的资信证明"/>
      <w:r>
        <w:rPr>
          <w:rFonts w:hint="eastAsia" w:asciiTheme="minorEastAsia" w:hAnsiTheme="minorEastAsia" w:cstheme="minorEastAsia"/>
        </w:rPr>
        <w:t xml:space="preserve">本授权书声明：</w:t>
      </w:r>
      <w:r>
        <w:rPr>
          <w:rFonts w:hint="eastAsia" w:asciiTheme="minorEastAsia" w:hAnsiTheme="minorEastAsia" w:cstheme="minorEastAsia"/>
          <w:u w:val="single"/>
        </w:rPr>
        <w:t xml:space="preserve">               </w:t>
      </w:r>
      <w:r>
        <w:rPr>
          <w:rFonts w:hint="eastAsia" w:asciiTheme="minorEastAsia" w:hAnsiTheme="minorEastAsia" w:cstheme="minorEastAsia"/>
        </w:rPr>
        <w:t xml:space="preserve">（供应商名称）授权</w:t>
      </w:r>
      <w:r>
        <w:rPr>
          <w:rFonts w:hint="eastAsia" w:asciiTheme="minorEastAsia" w:hAnsiTheme="minorEastAsia" w:cstheme="minorEastAsia"/>
          <w:u w:val="single"/>
        </w:rPr>
        <w:t xml:space="preserve">            </w:t>
      </w:r>
      <w:r>
        <w:rPr>
          <w:rFonts w:hint="eastAsia" w:asciiTheme="minorEastAsia" w:hAnsiTheme="minorEastAsia" w:cstheme="minorEastAsia"/>
        </w:rPr>
        <w:t xml:space="preserve">（被授权人的姓名）为我方就</w:t>
      </w:r>
      <w:r>
        <w:rPr>
          <w:rFonts w:hint="eastAsia" w:asciiTheme="minorEastAsia" w:hAnsiTheme="minorEastAsia" w:cstheme="minorEastAsia"/>
          <w:u w:val="single"/>
          <w:lang w:eastAsia="zh-CN"/>
        </w:rPr>
        <w:t xml:space="preserve">JSZC-320900-YCLX-G2026-0004</w:t>
      </w:r>
      <w:r>
        <w:rPr>
          <w:rFonts w:hint="eastAsia" w:asciiTheme="minorEastAsia" w:hAnsiTheme="minorEastAsia" w:cstheme="minorEastAsia"/>
        </w:rPr>
        <w:t xml:space="preserve">号</w:t>
      </w:r>
      <w:r>
        <w:rPr>
          <w:rFonts w:hint="eastAsia" w:asciiTheme="minorEastAsia" w:hAnsiTheme="minorEastAsia" w:cstheme="minorEastAsia"/>
          <w:u w:val="single"/>
        </w:rPr>
        <w:t xml:space="preserve">新四军纪念馆馆藏文物预防性保护项目</w:t>
      </w:r>
      <w:r>
        <w:rPr>
          <w:rFonts w:hint="eastAsia" w:asciiTheme="minorEastAsia" w:hAnsiTheme="minorEastAsia" w:cstheme="minorEastAsia"/>
        </w:rPr>
        <w:t xml:space="preserve">采购活动的合法代理人，以本单位名义全权处理一切与该项目采购有关的事务。</w:t>
      </w:r>
      <w:r/>
    </w:p>
    <w:p>
      <w:pPr>
        <w:pStyle w:val="682"/>
        <w:ind w:firstLine="480"/>
        <w:jc w:val="both"/>
        <w:spacing w:line="560" w:lineRule="exact"/>
        <w:rPr>
          <w:rFonts w:hint="eastAsia" w:asciiTheme="minorEastAsia" w:hAnsiTheme="minorEastAsia" w:cstheme="minorEastAsia"/>
        </w:rPr>
      </w:pPr>
      <w:r>
        <w:rPr>
          <w:rFonts w:hint="eastAsia" w:asciiTheme="minorEastAsia" w:hAnsiTheme="minorEastAsia" w:cstheme="minorEastAsia"/>
        </w:rPr>
        <w:t xml:space="preserve">本授权书于</w:t>
      </w:r>
      <w:r>
        <w:rPr>
          <w:rFonts w:hint="eastAsia" w:asciiTheme="minorEastAsia" w:hAnsiTheme="minorEastAsia" w:cstheme="minorEastAsia"/>
          <w:u w:val="single"/>
        </w:rPr>
        <w:t xml:space="preserve">       </w:t>
      </w:r>
      <w:r>
        <w:rPr>
          <w:rFonts w:hint="eastAsia" w:asciiTheme="minorEastAsia" w:hAnsiTheme="minorEastAsia" w:cstheme="minorEastAsia"/>
        </w:rPr>
        <w:t xml:space="preserve">年</w:t>
      </w:r>
      <w:r>
        <w:rPr>
          <w:rFonts w:hint="eastAsia" w:asciiTheme="minorEastAsia" w:hAnsiTheme="minorEastAsia" w:cstheme="minorEastAsia"/>
          <w:u w:val="single"/>
        </w:rPr>
        <w:t xml:space="preserve">     </w:t>
      </w:r>
      <w:r>
        <w:rPr>
          <w:rFonts w:hint="eastAsia" w:asciiTheme="minorEastAsia" w:hAnsiTheme="minorEastAsia" w:cstheme="minorEastAsia"/>
        </w:rPr>
        <w:t xml:space="preserve">月</w:t>
      </w:r>
      <w:r>
        <w:rPr>
          <w:rFonts w:hint="eastAsia" w:asciiTheme="minorEastAsia" w:hAnsiTheme="minorEastAsia" w:cstheme="minorEastAsia"/>
          <w:u w:val="single"/>
        </w:rPr>
        <w:t xml:space="preserve">     </w:t>
      </w:r>
      <w:r>
        <w:rPr>
          <w:rFonts w:hint="eastAsia" w:asciiTheme="minorEastAsia" w:hAnsiTheme="minorEastAsia" w:cstheme="minorEastAsia"/>
        </w:rPr>
        <w:t xml:space="preserve">日起生效，特此声明。</w:t>
      </w:r>
      <w:r/>
    </w:p>
    <w:p>
      <w:pPr>
        <w:pStyle w:val="682"/>
        <w:ind w:firstLine="480"/>
        <w:jc w:val="both"/>
        <w:spacing w:line="560" w:lineRule="exact"/>
        <w:tabs>
          <w:tab w:val="left" w:pos="360" w:leader="none"/>
        </w:tabs>
        <w:rPr>
          <w:rFonts w:hint="eastAsia" w:asciiTheme="minorEastAsia" w:hAnsiTheme="minorEastAsia" w:cstheme="minorEastAsia"/>
        </w:rPr>
      </w:pPr>
      <w:r>
        <w:rPr>
          <w:rFonts w:hint="eastAsia" w:asciiTheme="minorEastAsia" w:hAnsiTheme="minorEastAsia" w:cstheme="minorEastAsia"/>
        </w:rPr>
        <w:t xml:space="preserve">被授权人身份证号码：</w:t>
      </w:r>
      <w:r>
        <w:rPr>
          <w:rFonts w:hint="eastAsia" w:asciiTheme="minorEastAsia" w:hAnsiTheme="minorEastAsia" w:cstheme="minorEastAsia"/>
          <w:u w:val="single"/>
        </w:rPr>
        <w:t xml:space="preserve">                </w:t>
      </w:r>
      <w:r/>
    </w:p>
    <w:p>
      <w:pPr>
        <w:pStyle w:val="682"/>
        <w:ind w:firstLine="480"/>
        <w:jc w:val="both"/>
        <w:spacing w:line="560" w:lineRule="exact"/>
        <w:tabs>
          <w:tab w:val="left" w:pos="360" w:leader="none"/>
        </w:tabs>
        <w:rPr>
          <w:rFonts w:hint="eastAsia" w:asciiTheme="minorEastAsia" w:hAnsiTheme="minorEastAsia" w:cstheme="minorEastAsia"/>
        </w:rPr>
      </w:pPr>
      <w:r>
        <w:rPr>
          <w:rFonts w:hint="eastAsia" w:asciiTheme="minorEastAsia" w:hAnsiTheme="minorEastAsia" w:cstheme="minorEastAsia"/>
        </w:rPr>
        <w:t xml:space="preserve">被授权人联系电话：（手机）</w:t>
      </w:r>
      <w:r>
        <w:rPr>
          <w:rFonts w:hint="eastAsia" w:asciiTheme="minorEastAsia" w:hAnsiTheme="minorEastAsia" w:cstheme="minorEastAsia"/>
          <w:u w:val="single"/>
        </w:rPr>
        <w:t xml:space="preserve">          </w:t>
      </w:r>
      <w:r/>
    </w:p>
    <w:p>
      <w:pPr>
        <w:pStyle w:val="682"/>
        <w:ind w:firstLine="480"/>
        <w:jc w:val="both"/>
        <w:spacing w:line="560" w:lineRule="exact"/>
        <w:tabs>
          <w:tab w:val="left" w:pos="360" w:leader="none"/>
        </w:tabs>
        <w:rPr>
          <w:rFonts w:hint="eastAsia" w:asciiTheme="minorEastAsia" w:hAnsiTheme="minorEastAsia" w:cstheme="minorEastAsia"/>
        </w:rPr>
      </w:pPr>
      <w:r>
        <w:rPr>
          <w:rFonts w:hint="eastAsia" w:asciiTheme="minorEastAsia" w:hAnsiTheme="minorEastAsia" w:cstheme="minorEastAsia"/>
        </w:rPr>
        <w:t xml:space="preserve">授权单位名称：</w:t>
      </w:r>
      <w:r>
        <w:rPr>
          <w:rFonts w:hint="eastAsia" w:asciiTheme="minorEastAsia" w:hAnsiTheme="minorEastAsia" w:cstheme="minorEastAsia"/>
          <w:u w:val="single"/>
        </w:rPr>
        <w:t xml:space="preserve">    （加盖CA电子公章）    </w:t>
      </w:r>
      <w:r/>
    </w:p>
    <w:p>
      <w:pPr>
        <w:pStyle w:val="682"/>
        <w:ind w:firstLine="480"/>
        <w:jc w:val="both"/>
        <w:spacing w:line="560" w:lineRule="exact"/>
        <w:tabs>
          <w:tab w:val="left" w:pos="360" w:leader="none"/>
        </w:tabs>
        <w:rPr>
          <w:rFonts w:hint="eastAsia" w:asciiTheme="minorEastAsia" w:hAnsiTheme="minorEastAsia" w:cstheme="minorEastAsia"/>
        </w:rPr>
      </w:pPr>
      <w:r>
        <w:rPr>
          <w:rFonts w:hint="eastAsia" w:asciiTheme="minorEastAsia" w:hAnsiTheme="minorEastAsia" w:cstheme="minorEastAsia"/>
        </w:rPr>
        <w:t xml:space="preserve">单位地址：</w:t>
      </w:r>
      <w:r>
        <w:rPr>
          <w:rFonts w:hint="eastAsia" w:asciiTheme="minorEastAsia" w:hAnsiTheme="minorEastAsia" w:cstheme="minorEastAsia"/>
          <w:u w:val="single"/>
        </w:rPr>
        <w:t xml:space="preserve">                          </w:t>
      </w:r>
      <w:r/>
    </w:p>
    <w:p>
      <w:pPr>
        <w:pStyle w:val="682"/>
        <w:ind w:firstLine="480"/>
        <w:jc w:val="both"/>
        <w:spacing w:line="560" w:lineRule="exact"/>
        <w:tabs>
          <w:tab w:val="left" w:pos="360" w:leader="none"/>
        </w:tabs>
        <w:rPr>
          <w:rFonts w:hint="eastAsia" w:asciiTheme="minorEastAsia" w:hAnsiTheme="minorEastAsia" w:cstheme="minorEastAsia"/>
        </w:rPr>
      </w:pPr>
      <w:r>
        <w:rPr>
          <w:rFonts w:hint="eastAsia" w:asciiTheme="minorEastAsia" w:hAnsiTheme="minorEastAsia" w:cstheme="minorEastAsia"/>
        </w:rPr>
        <w:t xml:space="preserve">日    期：</w:t>
      </w:r>
      <w:r>
        <w:rPr>
          <w:rFonts w:hint="eastAsia" w:asciiTheme="minorEastAsia" w:hAnsiTheme="minorEastAsia" w:cstheme="minorEastAsia"/>
          <w:u w:val="single"/>
        </w:rPr>
        <w:t xml:space="preserve">                             </w:t>
      </w:r>
      <w:bookmarkEnd w:id="188"/>
      <w:r/>
    </w:p>
    <w:p>
      <w:pPr>
        <w:pStyle w:val="682"/>
        <w:ind w:firstLine="480"/>
        <w:jc w:val="both"/>
        <w:spacing w:line="560" w:lineRule="exact"/>
        <w:rPr>
          <w:rFonts w:hint="eastAsia" w:asciiTheme="minorEastAsia" w:hAnsiTheme="minorEastAsia" w:cstheme="minorEastAsia"/>
        </w:rPr>
      </w:pPr>
      <w:r>
        <w:rPr>
          <w:rFonts w:hint="eastAsia" w:asciiTheme="minorEastAsia" w:hAnsiTheme="minorEastAsia" w:cstheme="minorEastAsia"/>
        </w:rPr>
      </w:r>
      <w:r/>
    </w:p>
    <w:p>
      <w:pPr>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br w:type="page" w:clear="all"/>
      </w:r>
      <w:r/>
    </w:p>
    <w:p>
      <w:pPr>
        <w:pStyle w:val="682"/>
        <w:ind w:firstLine="0"/>
        <w:jc w:val="center"/>
        <w:spacing w:beforeAutospacing="0" w:afterAutospacing="0" w:line="500" w:lineRule="exact"/>
        <w:widowControl w:val="off"/>
        <w:rPr>
          <w:rFonts w:hint="eastAsia" w:ascii="黑体" w:hAnsi="黑体" w:eastAsia="黑体" w:cs="黑体"/>
          <w:i/>
          <w:sz w:val="32"/>
          <w:szCs w:val="32"/>
          <w:u w:val="single"/>
        </w:rPr>
        <w:outlineLvl w:val="1"/>
      </w:pPr>
      <w:r/>
      <w:bookmarkStart w:id="192" w:name="OLE_LINK68"/>
      <w:r>
        <w:rPr>
          <w:rFonts w:hint="eastAsia" w:ascii="黑体" w:hAnsi="黑体" w:eastAsia="黑体" w:cs="黑体"/>
          <w:i/>
          <w:sz w:val="32"/>
          <w:szCs w:val="32"/>
          <w:u w:val="single"/>
        </w:rPr>
        <w:t xml:space="preserve">八、投标函</w:t>
      </w:r>
      <w:r/>
    </w:p>
    <w:p>
      <w:pPr>
        <w:pStyle w:val="682"/>
        <w:ind w:firstLine="0"/>
        <w:spacing w:beforeAutospacing="0" w:afterAutospacing="0" w:line="500" w:lineRule="exact"/>
        <w:widowControl w:val="off"/>
        <w:rPr>
          <w:shd w:val="clear" w:color="auto" w:fill="ffffff" w:themeFill="background1"/>
        </w:rPr>
      </w:pPr>
      <w:r>
        <w:rPr>
          <w:rFonts w:hint="eastAsia"/>
          <w:shd w:val="clear" w:color="auto" w:fill="ffffff" w:themeFill="background1"/>
        </w:rPr>
        <w:t xml:space="preserve">致：新四军纪念馆</w:t>
      </w:r>
      <w:bookmarkEnd w:id="192"/>
      <w:r/>
      <w:r/>
    </w:p>
    <w:p>
      <w:pPr>
        <w:ind w:firstLine="480"/>
        <w:jc w:val="left"/>
        <w:spacing w:line="500" w:lineRule="exact"/>
        <w:rPr>
          <w:rFonts w:hint="eastAsia" w:ascii="宋体" w:hAnsi="宋体" w:cs="宋体"/>
          <w:sz w:val="24"/>
        </w:rPr>
      </w:pPr>
      <w:r>
        <w:rPr>
          <w:rFonts w:hint="eastAsia" w:ascii="宋体" w:hAnsi="宋体" w:cs="宋体"/>
          <w:sz w:val="24"/>
        </w:rPr>
        <w:t xml:space="preserve">根据贵方的</w:t>
      </w:r>
      <w:r>
        <w:rPr>
          <w:rFonts w:hint="eastAsia" w:ascii="宋体" w:hAnsi="宋体" w:eastAsia="宋体" w:cs="宋体"/>
          <w:sz w:val="24"/>
          <w:szCs w:val="20"/>
          <w:u w:val="single"/>
          <w:lang w:eastAsia="zh-CN"/>
        </w:rPr>
        <w:t xml:space="preserve">JSZC-320900-YCLX-G2026-0004</w:t>
      </w:r>
      <w:r>
        <w:rPr>
          <w:rFonts w:hint="eastAsia" w:ascii="宋体" w:hAnsi="宋体" w:cs="宋体"/>
          <w:sz w:val="24"/>
        </w:rPr>
        <w:t xml:space="preserve">号招标文件，正式授权下述签字人______(姓名)代表我方______________（投标人的名称），全权处理本次项目投标的有关事宜。</w:t>
      </w:r>
      <w:r/>
    </w:p>
    <w:p>
      <w:pPr>
        <w:ind w:firstLine="480"/>
        <w:jc w:val="left"/>
        <w:spacing w:line="500" w:lineRule="exact"/>
        <w:rPr>
          <w:rFonts w:hint="eastAsia" w:ascii="宋体" w:hAnsi="宋体" w:cs="宋体"/>
          <w:sz w:val="24"/>
        </w:rPr>
      </w:pPr>
      <w:r>
        <w:rPr>
          <w:rFonts w:hint="eastAsia" w:ascii="宋体" w:hAnsi="宋体" w:cs="宋体"/>
          <w:sz w:val="24"/>
        </w:rPr>
        <w:t xml:space="preserve">据此函，__________签字人兹宣布同意如下：</w:t>
      </w:r>
      <w:r/>
    </w:p>
    <w:p>
      <w:pPr>
        <w:ind w:firstLine="480"/>
        <w:jc w:val="left"/>
        <w:spacing w:line="500" w:lineRule="exact"/>
        <w:rPr>
          <w:rFonts w:hint="eastAsia" w:ascii="宋体" w:hAnsi="宋体" w:cs="宋体"/>
          <w:sz w:val="24"/>
        </w:rPr>
      </w:pPr>
      <w:r>
        <w:rPr>
          <w:rFonts w:hint="eastAsia" w:ascii="宋体" w:hAnsi="宋体" w:cs="宋体"/>
          <w:sz w:val="24"/>
        </w:rPr>
        <w:t xml:space="preserve">1.按照招标文件规定的各项要求，向买方提供所需服务（包含与服务相关的货物）。</w:t>
      </w:r>
      <w:r/>
    </w:p>
    <w:p>
      <w:pPr>
        <w:ind w:firstLine="480"/>
        <w:jc w:val="left"/>
        <w:spacing w:line="500" w:lineRule="exact"/>
        <w:rPr>
          <w:rFonts w:hint="eastAsia" w:ascii="宋体" w:hAnsi="宋体" w:cs="宋体"/>
          <w:sz w:val="24"/>
        </w:rPr>
      </w:pPr>
      <w:r>
        <w:rPr>
          <w:rFonts w:hint="eastAsia" w:ascii="宋体" w:hAnsi="宋体" w:cs="宋体"/>
          <w:sz w:val="24"/>
        </w:rPr>
        <w:t xml:space="preserve">2.我们完全理解贵方不一定将合同授予最低报价的投标人。</w:t>
      </w:r>
      <w:r/>
    </w:p>
    <w:p>
      <w:pPr>
        <w:ind w:firstLine="480"/>
        <w:jc w:val="left"/>
        <w:spacing w:line="500" w:lineRule="exact"/>
        <w:rPr>
          <w:rFonts w:hint="eastAsia"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cs="宋体"/>
          <w:sz w:val="24"/>
        </w:rPr>
      </w:pPr>
      <w:r>
        <w:rPr>
          <w:rFonts w:hint="eastAsia" w:ascii="宋体" w:hAnsi="宋体" w:cs="宋体"/>
          <w:sz w:val="24"/>
        </w:rPr>
        <w:t xml:space="preserve">4.同意向贵方提供贵方可能另外要求的与投标有关的任何证据或资料，并保证我方已提供和将要提供的文件是真实的、准确的。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6.一旦我方中标,我方将根据招标文件的规定，严格履行合同的责任和义务,并保证在招标文件规定的时间内完成项目，交付买方验收、使用。</w:t>
      </w:r>
      <w:r/>
    </w:p>
    <w:p>
      <w:pPr>
        <w:ind w:firstLine="480"/>
        <w:jc w:val="left"/>
        <w:spacing w:line="500" w:lineRule="exact"/>
        <w:rPr>
          <w:rFonts w:hint="eastAsia" w:ascii="宋体" w:hAnsi="宋体" w:cs="宋体"/>
          <w:sz w:val="24"/>
        </w:rPr>
      </w:pPr>
      <w:r>
        <w:rPr>
          <w:rFonts w:hint="eastAsia" w:ascii="宋体" w:hAnsi="宋体" w:cs="宋体"/>
          <w:sz w:val="24"/>
        </w:rPr>
        <w:t xml:space="preserve">7.与本投标有关的正式通讯地址为：</w:t>
      </w:r>
      <w:r/>
    </w:p>
    <w:p>
      <w:pPr>
        <w:ind w:firstLine="480"/>
        <w:jc w:val="left"/>
        <w:spacing w:line="500" w:lineRule="exact"/>
        <w:rPr>
          <w:rFonts w:hint="eastAsia" w:ascii="宋体" w:hAnsi="宋体" w:cs="宋体"/>
          <w:sz w:val="24"/>
        </w:rPr>
      </w:pPr>
      <w:r>
        <w:rPr>
          <w:rFonts w:hint="eastAsia" w:ascii="宋体" w:hAnsi="宋体" w:cs="宋体"/>
          <w:sz w:val="24"/>
        </w:rPr>
        <w:t xml:space="preserve">地     址：</w:t>
      </w:r>
      <w:r/>
    </w:p>
    <w:p>
      <w:pPr>
        <w:ind w:firstLine="480"/>
        <w:jc w:val="left"/>
        <w:spacing w:line="500" w:lineRule="exact"/>
        <w:rPr>
          <w:rFonts w:hint="eastAsia" w:ascii="宋体" w:hAnsi="宋体" w:cs="宋体"/>
          <w:sz w:val="24"/>
        </w:rPr>
      </w:pPr>
      <w:r>
        <w:rPr>
          <w:rFonts w:hint="eastAsia" w:ascii="宋体" w:hAnsi="宋体" w:cs="宋体"/>
          <w:sz w:val="24"/>
        </w:rPr>
        <w:t xml:space="preserve">邮    编：</w:t>
      </w:r>
      <w:r/>
    </w:p>
    <w:p>
      <w:pPr>
        <w:ind w:firstLine="480"/>
        <w:jc w:val="left"/>
        <w:spacing w:line="500" w:lineRule="exact"/>
        <w:rPr>
          <w:rFonts w:hint="eastAsia" w:ascii="宋体" w:hAnsi="宋体" w:cs="宋体"/>
          <w:sz w:val="24"/>
        </w:rPr>
      </w:pPr>
      <w:r>
        <w:rPr>
          <w:rFonts w:hint="eastAsia" w:ascii="宋体" w:hAnsi="宋体" w:cs="宋体"/>
          <w:sz w:val="24"/>
        </w:rPr>
        <w:t xml:space="preserve">电     话：</w:t>
      </w:r>
      <w:r/>
    </w:p>
    <w:p>
      <w:pPr>
        <w:ind w:firstLine="480"/>
        <w:jc w:val="left"/>
        <w:spacing w:line="500" w:lineRule="exact"/>
        <w:rPr>
          <w:rFonts w:hint="eastAsia" w:ascii="宋体" w:hAnsi="宋体" w:cs="宋体"/>
          <w:sz w:val="24"/>
        </w:rPr>
      </w:pPr>
      <w:r>
        <w:rPr>
          <w:rFonts w:hint="eastAsia" w:ascii="宋体" w:hAnsi="宋体" w:cs="宋体"/>
          <w:sz w:val="24"/>
        </w:rPr>
        <w:t xml:space="preserve">传     真：</w:t>
      </w:r>
      <w:r/>
    </w:p>
    <w:p>
      <w:pPr>
        <w:ind w:firstLine="480"/>
        <w:jc w:val="left"/>
        <w:spacing w:line="500" w:lineRule="exact"/>
        <w:rPr>
          <w:rFonts w:hint="eastAsia" w:ascii="宋体" w:hAnsi="宋体" w:cs="宋体"/>
          <w:sz w:val="24"/>
        </w:rPr>
      </w:pPr>
      <w:r>
        <w:rPr>
          <w:rFonts w:hint="eastAsia" w:ascii="宋体" w:hAnsi="宋体" w:cs="宋体"/>
          <w:sz w:val="24"/>
        </w:rPr>
        <w:t xml:space="preserve">投标人开户行：</w:t>
      </w:r>
      <w:r/>
    </w:p>
    <w:p>
      <w:pPr>
        <w:ind w:firstLine="480"/>
        <w:jc w:val="left"/>
        <w:spacing w:line="500" w:lineRule="exact"/>
        <w:rPr>
          <w:rFonts w:hint="eastAsia" w:ascii="宋体" w:hAnsi="宋体" w:cs="宋体"/>
          <w:sz w:val="24"/>
        </w:rPr>
      </w:pPr>
      <w:r>
        <w:rPr>
          <w:rFonts w:hint="eastAsia" w:ascii="宋体" w:hAnsi="宋体" w:cs="宋体"/>
          <w:sz w:val="24"/>
        </w:rPr>
        <w:t xml:space="preserve">账     号： </w:t>
      </w:r>
      <w:r/>
    </w:p>
    <w:p>
      <w:pPr>
        <w:ind w:firstLine="480"/>
        <w:jc w:val="left"/>
        <w:spacing w:line="500" w:lineRule="exact"/>
      </w:pPr>
      <w:r>
        <w:rPr>
          <w:rFonts w:hint="eastAsia" w:ascii="宋体" w:hAnsi="宋体" w:cs="宋体"/>
          <w:sz w:val="24"/>
        </w:rPr>
        <w:t xml:space="preserve">日     期：______年____月____日</w:t>
      </w:r>
      <w:r>
        <w:t xml:space="preserve"> </w:t>
      </w:r>
      <w:r/>
    </w:p>
    <w:p>
      <w:pPr>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br w:type="page" w:clear="all"/>
      </w:r>
      <w:r/>
    </w:p>
    <w:p>
      <w:pPr>
        <w:pStyle w:val="682"/>
        <w:ind w:firstLine="0"/>
        <w:jc w:val="center"/>
        <w:spacing w:beforeAutospacing="0" w:afterAutospacing="0" w:line="500" w:lineRule="exact"/>
        <w:widowControl w:val="off"/>
        <w:rPr>
          <w:rFonts w:ascii="方正小标宋_GBK" w:hAnsi="方正小标宋_GBK" w:eastAsia="方正小标宋_GBK" w:cs="方正小标宋_GBK"/>
          <w:color w:val="000000"/>
          <w:sz w:val="32"/>
          <w:szCs w:val="32"/>
        </w:rPr>
        <w:outlineLvl w:val="1"/>
      </w:pPr>
      <w:r/>
      <w:bookmarkStart w:id="193" w:name="OLE_LINK69"/>
      <w:r/>
      <w:bookmarkStart w:id="194" w:name="OLE_LINK70"/>
      <w:r>
        <w:rPr>
          <w:rFonts w:hint="eastAsia" w:ascii="黑体" w:hAnsi="黑体" w:eastAsia="黑体" w:cs="黑体"/>
          <w:i/>
          <w:sz w:val="32"/>
          <w:szCs w:val="32"/>
          <w:u w:val="single"/>
        </w:rPr>
        <w:t xml:space="preserve">九、中小企业声明函（货物）</w:t>
      </w:r>
      <w:r/>
    </w:p>
    <w:p>
      <w:pPr>
        <w:pStyle w:val="662"/>
        <w:ind w:firstLine="480"/>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本公司（联合体）郑重声明，根据《政府采购促进中小企业发展管理办法》(财库〔2020〕46号)的规定，本公司（联合体）参加盐城立信造价工程师事务所有限公司组织的</w:t>
      </w:r>
      <w:r>
        <w:rPr>
          <w:rFonts w:hint="eastAsia" w:ascii="宋体" w:hAnsi="宋体" w:eastAsia="宋体" w:cs="宋体"/>
          <w:sz w:val="24"/>
          <w:u w:val="single"/>
        </w:rPr>
        <w:t xml:space="preserve">新四军纪念馆</w:t>
      </w:r>
      <w:r>
        <w:rPr>
          <w:rFonts w:hint="eastAsia" w:ascii="宋体" w:hAnsi="宋体" w:eastAsia="宋体" w:cs="宋体"/>
          <w:sz w:val="24"/>
        </w:rPr>
        <w:t xml:space="preserve">，采购编号为</w:t>
      </w:r>
      <w:r>
        <w:rPr>
          <w:rFonts w:hint="eastAsia" w:ascii="宋体" w:hAnsi="宋体" w:eastAsia="宋体" w:cs="宋体"/>
          <w:sz w:val="24"/>
          <w:u w:val="single"/>
          <w:lang w:eastAsia="zh-CN"/>
        </w:rPr>
        <w:t xml:space="preserve">JSZC-320900-YCLX-G2026-0004</w:t>
      </w:r>
      <w:r>
        <w:rPr>
          <w:rFonts w:hint="eastAsia" w:ascii="宋体" w:hAnsi="宋体" w:eastAsia="宋体" w:cs="宋体"/>
          <w:sz w:val="24"/>
        </w:rPr>
        <w:t xml:space="preserve">的</w:t>
      </w:r>
      <w:r>
        <w:rPr>
          <w:rFonts w:hint="eastAsia" w:ascii="宋体" w:hAnsi="宋体" w:eastAsia="宋体" w:cs="宋体"/>
          <w:sz w:val="24"/>
          <w:u w:val="single"/>
        </w:rPr>
        <w:t xml:space="preserve">新四军纪念馆馆藏文物预防性保护项目 </w:t>
      </w:r>
      <w:r>
        <w:rPr>
          <w:rFonts w:hint="eastAsia" w:ascii="宋体" w:hAnsi="宋体" w:eastAsia="宋体" w:cs="宋体"/>
          <w:sz w:val="24"/>
        </w:rPr>
        <w:t xml:space="preserve">的采购活动，提供的货物全部由符合政策要求的中小企业制造。相关企业（含联合体中的中小企业、签订分包意向协议的中小企业）的具体情况如下：</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u w:val="single"/>
        </w:rPr>
        <w:t xml:space="preserve">（标的名称）</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(采购文件中明确的所属行业)</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（中型企业、小型企业、微型企业）；</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u w:val="single"/>
        </w:rPr>
        <w:t xml:space="preserve">（标的名称）</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(采购文件中明确的所属行业)</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（中型企业、小型企业、微型企业）；</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rPr>
        <w:t xml:space="preserve">……</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rPr>
        <w:t xml:space="preserve">以上企业，不属于大企业的分支机构，不存在控股股东为大企业的情形，也不存在与大企业的负责人为同一人的情形。</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rPr>
        <w:t xml:space="preserve">本企业对上述声明内容的真实性负责。如有虚假，将依法承担相应责任</w:t>
      </w:r>
      <w:r/>
    </w:p>
    <w:p>
      <w:pPr>
        <w:pStyle w:val="682"/>
        <w:ind w:right="720"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rPr>
        <w:t xml:space="preserve"> </w:t>
      </w:r>
      <w:r/>
    </w:p>
    <w:p>
      <w:pPr>
        <w:pStyle w:val="682"/>
        <w:ind w:right="180" w:firstLine="552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rPr>
        <w:t xml:space="preserve">企业名称（加盖CA电子公章）：</w:t>
      </w:r>
      <w:r/>
    </w:p>
    <w:p>
      <w:pPr>
        <w:pStyle w:val="682"/>
        <w:ind w:right="480" w:firstLine="552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rPr>
        <w:t xml:space="preserve">日  期：</w:t>
      </w:r>
      <w:r/>
    </w:p>
    <w:p>
      <w:pPr>
        <w:pStyle w:val="682"/>
        <w:ind w:firstLine="480"/>
        <w:jc w:val="both"/>
        <w:spacing w:beforeAutospacing="0" w:afterAutospacing="0" w:line="500" w:lineRule="exact"/>
        <w:widowControl w:val="off"/>
        <w:rPr>
          <w:rFonts w:hint="eastAsia" w:ascii="宋体" w:hAnsi="宋体" w:eastAsia="宋体" w:cs="宋体"/>
          <w:color w:val="ff0000"/>
        </w:rPr>
      </w:pPr>
      <w:r>
        <w:rPr>
          <w:rFonts w:hint="eastAsia" w:ascii="宋体" w:hAnsi="宋体" w:eastAsia="宋体" w:cs="宋体"/>
          <w:color w:val="ff0000"/>
        </w:rPr>
        <w:t xml:space="preserve"> </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682"/>
        <w:ind w:firstLine="480"/>
        <w:jc w:val="both"/>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备注2：供应商如不提供此声明函，价格将不做相应扣除（如项目全面面向中小企业，则资格审查不通过）。</w:t>
      </w:r>
      <w:r/>
    </w:p>
    <w:p>
      <w:pPr>
        <w:pStyle w:val="682"/>
        <w:ind w:firstLine="240"/>
        <w:jc w:val="both"/>
        <w:spacing w:beforeAutospacing="0" w:afterAutospacing="0" w:line="500" w:lineRule="exact"/>
      </w:pPr>
      <w:r/>
      <w:r/>
    </w:p>
    <w:p>
      <w:pPr>
        <w:pStyle w:val="682"/>
        <w:ind w:firstLine="0"/>
        <w:jc w:val="center"/>
        <w:spacing w:beforeAutospacing="0" w:afterAutospacing="0" w:line="500" w:lineRule="exact"/>
        <w:widowControl w:val="off"/>
        <w:rPr>
          <w:rFonts w:hint="eastAsia" w:ascii="黑体" w:hAnsi="黑体" w:eastAsia="黑体" w:cs="黑体"/>
          <w:i/>
          <w:sz w:val="32"/>
          <w:szCs w:val="32"/>
          <w:u w:val="single"/>
        </w:rPr>
        <w:outlineLvl w:val="1"/>
      </w:pPr>
      <w:r>
        <w:rPr>
          <w:rFonts w:hint="eastAsia" w:ascii="黑体" w:hAnsi="宋体" w:eastAsia="黑体" w:cs="黑体"/>
          <w:b/>
          <w:sz w:val="32"/>
          <w:szCs w:val="32"/>
        </w:rPr>
        <w:br w:type="page" w:clear="all"/>
      </w:r>
      <w:bookmarkEnd w:id="193"/>
      <w:r>
        <w:rPr>
          <w:rFonts w:hint="eastAsia" w:ascii="黑体" w:hAnsi="黑体" w:eastAsia="黑体" w:cs="黑体"/>
          <w:i/>
          <w:sz w:val="32"/>
          <w:szCs w:val="32"/>
          <w:u w:val="single"/>
        </w:rPr>
        <w:t xml:space="preserve"> 十、残疾人福利性单位声明函</w:t>
      </w:r>
      <w:r/>
    </w:p>
    <w:p>
      <w:pPr>
        <w:ind w:firstLine="480"/>
        <w:jc w:val="left"/>
        <w:spacing w:line="520" w:lineRule="exact"/>
        <w:rPr>
          <w:rFonts w:hint="eastAsia" w:ascii="宋体" w:hAnsi="宋体" w:cs="宋体"/>
          <w:sz w:val="24"/>
        </w:rPr>
      </w:pPr>
      <w:r>
        <w:rPr>
          <w:rFonts w:hint="eastAsia" w:ascii="宋体" w:hAnsi="宋体" w:cs="宋体"/>
          <w:sz w:val="24"/>
        </w:rPr>
      </w:r>
      <w:r/>
    </w:p>
    <w:p>
      <w:pPr>
        <w:ind w:firstLine="480"/>
        <w:jc w:val="left"/>
        <w:spacing w:line="500" w:lineRule="exact"/>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（采购单位）</w:t>
      </w:r>
      <w:r>
        <w:rPr>
          <w:rFonts w:hint="eastAsia" w:ascii="宋体" w:hAnsi="宋体" w:cs="宋体"/>
          <w:sz w:val="24"/>
        </w:rPr>
        <w:t xml:space="preserve">的采购文件编号为</w:t>
      </w:r>
      <w:r>
        <w:rPr>
          <w:rFonts w:hint="eastAsia" w:ascii="宋体" w:hAnsi="宋体" w:eastAsia="宋体" w:cs="宋体"/>
          <w:sz w:val="24"/>
          <w:szCs w:val="20"/>
          <w:u w:val="single"/>
        </w:rPr>
        <w:t xml:space="preserve">（项目编号）</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采购活动由本单位提供服务。</w:t>
      </w:r>
      <w:r/>
    </w:p>
    <w:p>
      <w:pPr>
        <w:ind w:firstLine="480"/>
        <w:jc w:val="left"/>
        <w:spacing w:line="500" w:lineRule="exact"/>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jc w:val="left"/>
        <w:spacing w:line="500" w:lineRule="exact"/>
        <w:rPr>
          <w:rFonts w:hint="eastAsia" w:ascii="宋体" w:hAnsi="宋体" w:cs="宋体"/>
          <w:sz w:val="24"/>
        </w:rPr>
      </w:pPr>
      <w:r>
        <w:rPr>
          <w:rFonts w:hint="eastAsia" w:ascii="宋体" w:hAnsi="宋体" w:cs="宋体"/>
          <w:sz w:val="24"/>
        </w:rPr>
      </w:r>
      <w:r/>
    </w:p>
    <w:p>
      <w:pPr>
        <w:spacing w:line="50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备注：1、供应商如不提供此声明函，价格将不做相应扣除（如项目全面面向中小企业，则资格审查不通过）。2、中标人为残疾人福利单位的，此声明函将随中标结果同时公告，接受社会监督</w:t>
      </w:r>
      <w:r/>
    </w:p>
    <w:p>
      <w:pPr>
        <w:ind w:firstLine="480"/>
        <w:jc w:val="left"/>
        <w:spacing w:line="520" w:lineRule="exact"/>
        <w:rPr>
          <w:rFonts w:hint="eastAsia" w:ascii="宋体" w:hAnsi="宋体" w:cs="宋体"/>
          <w:sz w:val="24"/>
        </w:rPr>
      </w:pPr>
      <w:r>
        <w:rPr>
          <w:rFonts w:hint="eastAsia" w:ascii="宋体" w:hAnsi="宋体" w:cs="宋体"/>
          <w:sz w:val="24"/>
        </w:rPr>
      </w:r>
      <w:r/>
    </w:p>
    <w:p>
      <w:pPr>
        <w:ind w:firstLine="480"/>
        <w:jc w:val="left"/>
        <w:spacing w:line="520" w:lineRule="exact"/>
        <w:rPr>
          <w:rFonts w:hint="eastAsia" w:ascii="宋体" w:hAnsi="宋体" w:cs="宋体"/>
          <w:sz w:val="24"/>
        </w:rPr>
      </w:pPr>
      <w:r>
        <w:rPr>
          <w:rFonts w:hint="eastAsia" w:ascii="宋体" w:hAnsi="宋体" w:cs="宋体"/>
          <w:sz w:val="24"/>
        </w:rPr>
        <w:t xml:space="preserve"> </w:t>
      </w:r>
      <w:r/>
    </w:p>
    <w:p>
      <w:pPr>
        <w:ind w:right="480" w:firstLine="480"/>
        <w:jc w:val="right"/>
        <w:spacing w:line="520" w:lineRule="exact"/>
        <w:rPr>
          <w:rFonts w:hint="eastAsia" w:ascii="宋体" w:hAnsi="宋体" w:cs="宋体"/>
          <w:sz w:val="24"/>
        </w:rPr>
      </w:pPr>
      <w:r>
        <w:rPr>
          <w:rFonts w:hint="eastAsia" w:ascii="宋体" w:hAnsi="宋体" w:cs="宋体"/>
          <w:sz w:val="24"/>
        </w:rPr>
      </w:r>
      <w:r/>
    </w:p>
    <w:p>
      <w:pPr>
        <w:ind w:right="480" w:firstLine="480"/>
        <w:jc w:val="center"/>
        <w:spacing w:line="500" w:lineRule="exact"/>
        <w:rPr>
          <w:rFonts w:hint="eastAsia" w:ascii="宋体" w:hAnsi="宋体" w:cs="宋体"/>
          <w:sz w:val="24"/>
        </w:rPr>
      </w:pPr>
      <w:r>
        <w:rPr>
          <w:rFonts w:hint="eastAsia" w:ascii="宋体" w:hAnsi="宋体" w:cs="宋体"/>
          <w:sz w:val="24"/>
        </w:rPr>
        <w:t xml:space="preserve">                    企业名称（加盖CA电子公章）：        </w:t>
      </w:r>
      <w:r/>
    </w:p>
    <w:p>
      <w:pPr>
        <w:pStyle w:val="682"/>
        <w:jc w:val="center"/>
        <w:spacing w:beforeAutospacing="0" w:afterAutospacing="0" w:line="500" w:lineRule="exact"/>
      </w:pPr>
      <w:r>
        <w:rPr>
          <w:rFonts w:hint="eastAsia" w:ascii="宋体" w:hAnsi="宋体" w:cs="宋体"/>
        </w:rPr>
        <w:t xml:space="preserve">日  期：   </w:t>
      </w:r>
      <w:r>
        <w:t xml:space="preserve"> </w:t>
      </w:r>
      <w:r/>
    </w:p>
    <w:p>
      <w:r>
        <w:br w:type="page" w:clear="all"/>
      </w:r>
      <w:r/>
    </w:p>
    <w:p>
      <w:pPr>
        <w:pStyle w:val="682"/>
        <w:jc w:val="center"/>
        <w:spacing w:beforeAutospacing="0" w:afterAutospacing="0"/>
        <w:widowControl w:val="off"/>
        <w:rPr>
          <w:color w:val="ff0000"/>
        </w:rPr>
        <w:outlineLvl w:val="1"/>
      </w:pPr>
      <w:r>
        <w:rPr>
          <w:rFonts w:ascii="黑体" w:hAnsi="宋体" w:eastAsia="黑体" w:cs="黑体"/>
          <w:b/>
          <w:bCs/>
          <w:color w:val="ff0000"/>
          <w:sz w:val="32"/>
          <w:szCs w:val="32"/>
        </w:rPr>
        <w:t xml:space="preserve">十一、关于符合本国产品标准的声明函</w:t>
      </w:r>
      <w:r/>
    </w:p>
    <w:p>
      <w:pPr>
        <w:pStyle w:val="682"/>
        <w:ind w:firstLine="420"/>
        <w:jc w:val="both"/>
        <w:spacing w:beforeAutospacing="0" w:afterAutospacing="0"/>
        <w:widowControl w:val="off"/>
        <w:rPr>
          <w:color w:val="ff0000"/>
        </w:rPr>
      </w:pPr>
      <w:r>
        <w:rPr>
          <w:rFonts w:ascii="Arial" w:hAnsi="Arial" w:cs="Arial"/>
          <w:color w:val="ff0000"/>
        </w:rPr>
        <w:t xml:space="preserve"> </w:t>
      </w:r>
      <w:bookmarkEnd w:id="194"/>
      <w:r/>
    </w:p>
    <w:p>
      <w:pPr>
        <w:pStyle w:val="682"/>
        <w:ind w:left="0" w:firstLine="420"/>
        <w:jc w:val="both"/>
        <w:keepLines w:val="0"/>
        <w:keepNext w:val="0"/>
        <w:pageBreakBefore w:val="0"/>
        <w:spacing w:beforeAutospacing="0" w:afterAutospacing="0" w:line="400" w:lineRule="exact"/>
        <w:widowControl w:val="off"/>
        <w:rPr>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bookmarkStart w:id="195" w:name="OLE_LINK86"/>
      <w:r/>
      <w:bookmarkStart w:id="196" w:name="OLE_LINK87"/>
      <w:r>
        <w:rPr>
          <w:rFonts w:ascii="宋体" w:hAnsi="宋体" w:eastAsia="宋体" w:cs="宋体"/>
          <w:b/>
          <w:bCs/>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82"/>
        <w:ind w:left="0" w:firstLine="420"/>
        <w:jc w:val="both"/>
        <w:keepLines w:val="0"/>
        <w:keepNext w:val="0"/>
        <w:pageBreakBefore w:val="0"/>
        <w:spacing w:beforeAutospacing="0" w:afterAutospacing="0" w:line="400" w:lineRule="exact"/>
        <w:widowControl w:val="off"/>
        <w:rPr>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1.</w:t>
      </w:r>
      <w:r>
        <w:rPr>
          <w:rFonts w:ascii="宋体" w:hAnsi="宋体" w:eastAsia="宋体" w:cs="宋体"/>
          <w:b/>
          <w:bCs/>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vertAlign w:val="superscript"/>
        </w:rPr>
        <w:t xml:space="preserve">1</w:t>
      </w:r>
      <w:r>
        <w:rPr>
          <w:rFonts w:ascii="宋体" w:hAnsi="宋体" w:eastAsia="宋体" w:cs="宋体"/>
          <w:b/>
          <w:bCs/>
          <w:color w:val="ff0000"/>
          <w:sz w:val="24"/>
          <w:szCs w:val="24"/>
          <w:shd w:val="clear" w:color="auto" w:fill="ffffff"/>
        </w:rPr>
        <w:t xml:space="preserve">，生产厂为</w:t>
      </w:r>
      <w:r>
        <w:rPr>
          <w:rFonts w:ascii="宋体" w:hAnsi="宋体" w:eastAsia="宋体" w:cs="宋体"/>
          <w:b/>
          <w:bCs/>
          <w:color w:val="ff0000"/>
          <w:sz w:val="24"/>
          <w:szCs w:val="24"/>
          <w:u w:val="single"/>
          <w:shd w:val="clear" w:color="auto" w:fill="ffffff"/>
        </w:rPr>
        <w:t xml:space="preserve">（厂名）</w:t>
      </w:r>
      <w:r>
        <w:rPr>
          <w:rFonts w:ascii="宋体" w:hAnsi="宋体" w:eastAsia="宋体" w:cs="宋体"/>
          <w:b/>
          <w:bCs/>
          <w:color w:val="ff0000"/>
          <w:sz w:val="24"/>
          <w:szCs w:val="24"/>
          <w:shd w:val="clear" w:color="auto" w:fill="ffffff"/>
          <w:vertAlign w:val="superscript"/>
        </w:rPr>
        <w:t xml:space="preserve">2</w:t>
      </w:r>
      <w:r>
        <w:rPr>
          <w:rFonts w:ascii="宋体" w:hAnsi="宋体" w:eastAsia="宋体" w:cs="宋体"/>
          <w:b/>
          <w:bCs/>
          <w:color w:val="ff0000"/>
          <w:sz w:val="24"/>
          <w:szCs w:val="24"/>
          <w:shd w:val="clear" w:color="auto" w:fill="ffffff"/>
        </w:rPr>
        <w:t xml:space="preserve">，厂址为</w:t>
      </w:r>
      <w:r>
        <w:rPr>
          <w:rFonts w:ascii="宋体" w:hAnsi="宋体" w:eastAsia="宋体" w:cs="宋体"/>
          <w:b/>
          <w:bCs/>
          <w:color w:val="ff0000"/>
          <w:sz w:val="24"/>
          <w:szCs w:val="24"/>
          <w:u w:val="single"/>
          <w:shd w:val="clear" w:color="auto" w:fill="ffffff"/>
        </w:rPr>
        <w:t xml:space="preserve">（生产厂址）</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 （产品名称1）</w:t>
      </w:r>
      <w:r>
        <w:rPr>
          <w:rFonts w:ascii="宋体" w:hAnsi="宋体" w:eastAsia="宋体" w:cs="宋体"/>
          <w:b/>
          <w:bCs/>
          <w:color w:val="ff0000"/>
          <w:sz w:val="24"/>
          <w:szCs w:val="24"/>
          <w:u w:val="single"/>
          <w:shd w:val="clear" w:color="auto" w:fill="ffffff"/>
        </w:rPr>
        <w:t xml:space="preserve"> </w:t>
      </w:r>
      <w:r>
        <w:rPr>
          <w:rFonts w:ascii="宋体" w:hAnsi="宋体" w:eastAsia="宋体" w:cs="宋体"/>
          <w:b/>
          <w:bCs/>
          <w:color w:val="ff0000"/>
          <w:sz w:val="24"/>
          <w:szCs w:val="24"/>
          <w:shd w:val="clear" w:color="auto" w:fill="ffffff"/>
        </w:rPr>
        <w:t xml:space="preserve">的中国境内生产的组件成本占比≥</w:t>
      </w:r>
      <w:r>
        <w:rPr>
          <w:rFonts w:ascii="宋体" w:hAnsi="宋体" w:eastAsia="宋体" w:cs="宋体"/>
          <w:b/>
          <w:bCs/>
          <w:strike/>
          <w:color w:val="ff0000"/>
          <w:sz w:val="24"/>
          <w:szCs w:val="24"/>
          <w:u w:val="single"/>
          <w:shd w:val="clear" w:color="auto" w:fill="ffffff"/>
        </w:rPr>
        <w:t xml:space="preserve">（规定比例）</w:t>
      </w:r>
      <w:r>
        <w:rPr>
          <w:rFonts w:ascii="宋体" w:hAnsi="宋体" w:eastAsia="宋体" w:cs="宋体"/>
          <w:b/>
          <w:bCs/>
          <w:strike/>
          <w:color w:val="ff0000"/>
          <w:sz w:val="24"/>
          <w:szCs w:val="24"/>
          <w:shd w:val="clear" w:color="auto" w:fill="ffffff"/>
          <w:vertAlign w:val="superscript"/>
        </w:rPr>
        <w:t xml:space="preserve">3</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（关键组件）</w:t>
      </w:r>
      <w:r>
        <w:rPr>
          <w:rFonts w:ascii="宋体" w:hAnsi="宋体" w:eastAsia="宋体" w:cs="宋体"/>
          <w:b/>
          <w:bCs/>
          <w:strike/>
          <w:color w:val="ff0000"/>
          <w:sz w:val="24"/>
          <w:szCs w:val="24"/>
          <w:shd w:val="clear" w:color="auto" w:fill="ffffff"/>
          <w:vertAlign w:val="superscript"/>
        </w:rPr>
        <w:t xml:space="preserve">4</w:t>
      </w:r>
      <w:r>
        <w:rPr>
          <w:rFonts w:ascii="宋体" w:hAnsi="宋体" w:eastAsia="宋体" w:cs="宋体"/>
          <w:b/>
          <w:bCs/>
          <w:color w:val="ff0000"/>
          <w:sz w:val="24"/>
          <w:szCs w:val="24"/>
          <w:shd w:val="clear" w:color="auto" w:fill="ffffff"/>
        </w:rPr>
        <w:t xml:space="preserve">在中国境内生产。</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（关键工序）</w:t>
      </w:r>
      <w:r>
        <w:rPr>
          <w:rFonts w:ascii="宋体" w:hAnsi="宋体" w:eastAsia="宋体" w:cs="宋体"/>
          <w:b/>
          <w:bCs/>
          <w:strike/>
          <w:color w:val="ff0000"/>
          <w:sz w:val="24"/>
          <w:szCs w:val="24"/>
          <w:shd w:val="clear" w:color="auto" w:fill="ffffff"/>
          <w:vertAlign w:val="superscript"/>
        </w:rPr>
        <w:t xml:space="preserve">5</w:t>
      </w:r>
      <w:r>
        <w:rPr>
          <w:rFonts w:ascii="宋体" w:hAnsi="宋体" w:eastAsia="宋体" w:cs="宋体"/>
          <w:b/>
          <w:bCs/>
          <w:color w:val="ff0000"/>
          <w:sz w:val="24"/>
          <w:szCs w:val="24"/>
          <w:shd w:val="clear" w:color="auto" w:fill="ffffff"/>
        </w:rPr>
        <w:t xml:space="preserve">在中国境内完成。</w:t>
      </w:r>
      <w:r/>
    </w:p>
    <w:p>
      <w:pPr>
        <w:pStyle w:val="682"/>
        <w:ind w:left="0" w:firstLine="420"/>
        <w:jc w:val="both"/>
        <w:keepLines w:val="0"/>
        <w:keepNext w:val="0"/>
        <w:pageBreakBefore w:val="0"/>
        <w:spacing w:beforeAutospacing="0" w:afterAutospacing="0" w:line="400" w:lineRule="exact"/>
        <w:widowControl w:val="off"/>
        <w:rPr>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2.</w:t>
      </w:r>
      <w:r>
        <w:rPr>
          <w:rFonts w:ascii="宋体" w:hAnsi="宋体" w:eastAsia="宋体" w:cs="宋体"/>
          <w:b/>
          <w:bCs/>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，生产厂为</w:t>
      </w:r>
      <w:r>
        <w:rPr>
          <w:rFonts w:ascii="宋体" w:hAnsi="宋体" w:eastAsia="宋体" w:cs="宋体"/>
          <w:b/>
          <w:bCs/>
          <w:color w:val="ff0000"/>
          <w:sz w:val="24"/>
          <w:szCs w:val="24"/>
          <w:u w:val="single"/>
          <w:shd w:val="clear" w:color="auto" w:fill="ffffff"/>
        </w:rPr>
        <w:t xml:space="preserve">（厂名）</w:t>
      </w:r>
      <w:r>
        <w:rPr>
          <w:rFonts w:ascii="宋体" w:hAnsi="宋体" w:eastAsia="宋体" w:cs="宋体"/>
          <w:b/>
          <w:bCs/>
          <w:color w:val="ff0000"/>
          <w:sz w:val="24"/>
          <w:szCs w:val="24"/>
          <w:shd w:val="clear" w:color="auto" w:fill="ffffff"/>
        </w:rPr>
        <w:t xml:space="preserve">，厂址为</w:t>
      </w:r>
      <w:r>
        <w:rPr>
          <w:rFonts w:ascii="宋体" w:hAnsi="宋体" w:eastAsia="宋体" w:cs="宋体"/>
          <w:b/>
          <w:bCs/>
          <w:color w:val="ff0000"/>
          <w:sz w:val="24"/>
          <w:szCs w:val="24"/>
          <w:u w:val="single"/>
          <w:shd w:val="clear" w:color="auto" w:fill="ffffff"/>
        </w:rPr>
        <w:t xml:space="preserve">（生产厂址）</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的中国境内生产的组件成本占比≥</w:t>
      </w:r>
      <w:r>
        <w:rPr>
          <w:rFonts w:ascii="宋体" w:hAnsi="宋体" w:eastAsia="宋体" w:cs="宋体"/>
          <w:b/>
          <w:bCs/>
          <w:strike/>
          <w:color w:val="ff0000"/>
          <w:sz w:val="24"/>
          <w:szCs w:val="24"/>
          <w:u w:val="single"/>
          <w:shd w:val="clear" w:color="auto" w:fill="ffffff"/>
        </w:rPr>
        <w:t xml:space="preserve">（规定比例）</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（关键组件）</w:t>
      </w:r>
      <w:r>
        <w:rPr>
          <w:rFonts w:ascii="宋体" w:hAnsi="宋体" w:eastAsia="宋体" w:cs="宋体"/>
          <w:b/>
          <w:bCs/>
          <w:color w:val="ff0000"/>
          <w:sz w:val="24"/>
          <w:szCs w:val="24"/>
          <w:shd w:val="clear" w:color="auto" w:fill="ffffff"/>
        </w:rPr>
        <w:t xml:space="preserve">在中国境内生产。</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（关键工序）</w:t>
      </w:r>
      <w:r>
        <w:rPr>
          <w:rFonts w:ascii="宋体" w:hAnsi="宋体" w:eastAsia="宋体" w:cs="宋体"/>
          <w:b/>
          <w:bCs/>
          <w:color w:val="ff0000"/>
          <w:sz w:val="24"/>
          <w:szCs w:val="24"/>
          <w:shd w:val="clear" w:color="auto" w:fill="ffffff"/>
        </w:rPr>
        <w:t xml:space="preserve">在中国境内完成。</w:t>
      </w:r>
      <w:r/>
    </w:p>
    <w:p>
      <w:pPr>
        <w:pStyle w:val="682"/>
        <w:ind w:left="0" w:firstLine="420"/>
        <w:jc w:val="both"/>
        <w:keepLines w:val="0"/>
        <w:keepNext w:val="0"/>
        <w:pageBreakBefore w:val="0"/>
        <w:spacing w:beforeAutospacing="0" w:afterAutospacing="0" w:line="400" w:lineRule="exact"/>
        <w:widowControl w:val="off"/>
        <w:rPr>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w:t>
      </w:r>
      <w:r/>
    </w:p>
    <w:p>
      <w:pPr>
        <w:pStyle w:val="682"/>
        <w:ind w:left="0" w:firstLine="420"/>
        <w:jc w:val="both"/>
        <w:keepLines w:val="0"/>
        <w:keepNext w:val="0"/>
        <w:pageBreakBefore w:val="0"/>
        <w:spacing w:beforeAutospacing="0" w:afterAutospacing="0" w:line="400" w:lineRule="exact"/>
        <w:widowControl w:val="off"/>
        <w:rPr>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本公司（单位）对上述声明内容的真实性负责。如有虚假，愿承担相应法律责任。</w:t>
      </w:r>
      <w:r/>
    </w:p>
    <w:p>
      <w:pPr>
        <w:pStyle w:val="682"/>
        <w:jc w:val="both"/>
        <w:keepLines w:val="0"/>
        <w:keepNext w:val="0"/>
        <w:pageBreakBefore w:val="0"/>
        <w:spacing w:beforeAutospacing="0" w:afterAutospacing="0" w:line="400" w:lineRule="exact"/>
        <w:widowControl w:val="off"/>
        <w:rPr>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rPr>
        <w:t xml:space="preserve"> </w:t>
      </w:r>
      <w:r/>
    </w:p>
    <w:p>
      <w:pPr>
        <w:pStyle w:val="682"/>
        <w:ind w:left="0" w:right="480" w:firstLine="3720"/>
        <w:jc w:val="both"/>
        <w:keepLines w:val="0"/>
        <w:keepNext w:val="0"/>
        <w:pageBreakBefore w:val="0"/>
        <w:spacing w:beforeAutospacing="0" w:afterAutospacing="0" w:line="400" w:lineRule="exact"/>
        <w:widowControl w:val="off"/>
        <w:rPr>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公司（单位）名称（盖章）：　</w:t>
      </w:r>
      <w:r/>
    </w:p>
    <w:p>
      <w:pPr>
        <w:pStyle w:val="682"/>
        <w:jc w:val="center"/>
        <w:keepLines w:val="0"/>
        <w:keepNext w:val="0"/>
        <w:pageBreakBefore w:val="0"/>
        <w:spacing w:beforeAutospacing="0" w:afterAutospacing="0" w:line="400" w:lineRule="exact"/>
        <w:widowControl w:val="off"/>
        <w:rPr>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                            日期：　   年　  月　  日</w:t>
      </w:r>
      <w:r/>
    </w:p>
    <w:p>
      <w:pPr>
        <w:pStyle w:val="682"/>
        <w:jc w:val="both"/>
        <w:keepLines w:val="0"/>
        <w:keepNext w:val="0"/>
        <w:pageBreakBefore w:val="0"/>
        <w:spacing w:beforeAutospacing="0" w:afterAutospacing="0" w:line="400" w:lineRule="exact"/>
        <w:widowControl w:val="off"/>
        <w:rPr>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__________________</w:t>
      </w:r>
      <w:r/>
    </w:p>
    <w:p>
      <w:pPr>
        <w:pStyle w:val="682"/>
        <w:jc w:val="both"/>
        <w:keepLines w:val="0"/>
        <w:keepNext w:val="0"/>
        <w:pageBreakBefore w:val="0"/>
        <w:spacing w:beforeAutospacing="0" w:afterAutospacing="0" w:line="400" w:lineRule="exact"/>
        <w:widowControl w:val="off"/>
        <w:rPr>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1.产品如有型号，请在“产品名称”栏一并填写。</w:t>
      </w:r>
      <w:r/>
    </w:p>
    <w:p>
      <w:pPr>
        <w:pStyle w:val="682"/>
        <w:jc w:val="both"/>
        <w:keepLines w:val="0"/>
        <w:keepNext w:val="0"/>
        <w:pageBreakBefore w:val="0"/>
        <w:spacing w:beforeAutospacing="0" w:afterAutospacing="0" w:line="400" w:lineRule="exact"/>
        <w:widowControl w:val="off"/>
        <w:rPr>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2.生产厂名与厂址应与生产厂营业执照载明的相关信息保持一致。</w:t>
      </w:r>
      <w:r/>
    </w:p>
    <w:p>
      <w:pPr>
        <w:pStyle w:val="682"/>
        <w:jc w:val="both"/>
        <w:keepLines w:val="0"/>
        <w:keepNext w:val="0"/>
        <w:pageBreakBefore w:val="0"/>
        <w:spacing w:beforeAutospacing="0" w:afterAutospacing="0" w:line="400" w:lineRule="exact"/>
        <w:widowControl w:val="off"/>
        <w:rPr>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3.该产品的中国境内生产的组件成本占比相关要求实施前，“规定比例”栏可不填，下同。</w:t>
      </w:r>
      <w:r/>
    </w:p>
    <w:p>
      <w:pPr>
        <w:pStyle w:val="682"/>
        <w:jc w:val="both"/>
        <w:keepLines w:val="0"/>
        <w:keepNext w:val="0"/>
        <w:pageBreakBefore w:val="0"/>
        <w:spacing w:beforeAutospacing="0" w:afterAutospacing="0" w:line="400" w:lineRule="exact"/>
        <w:widowControl w:val="off"/>
        <w:rPr>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4.该产品的关键组件要求实施前，“关键组件”栏可不填，下同。</w:t>
      </w:r>
      <w:r/>
    </w:p>
    <w:p>
      <w:pPr>
        <w:pStyle w:val="682"/>
        <w:jc w:val="both"/>
        <w:keepLines w:val="0"/>
        <w:keepNext w:val="0"/>
        <w:pageBreakBefore w:val="0"/>
        <w:spacing w:beforeAutospacing="0" w:afterAutospacing="0" w:line="400" w:lineRule="exact"/>
        <w:widowControl w:val="off"/>
        <w:rPr>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5.该产品的关键工序要求实施前，“关键工序”栏可不填，下同。</w:t>
      </w:r>
      <w:r/>
    </w:p>
    <w:p>
      <w:pPr>
        <w:pStyle w:val="682"/>
        <w:jc w:val="both"/>
        <w:keepLines w:val="0"/>
        <w:keepNext w:val="0"/>
        <w:pageBreakBefore w:val="0"/>
        <w:spacing w:beforeAutospacing="0" w:afterAutospacing="0" w:line="400" w:lineRule="exact"/>
        <w:widowControl w:val="off"/>
        <w:rPr>
          <w:rFonts w:ascii="宋体" w:hAnsi="宋体" w:eastAsia="宋体" w:cs="宋体"/>
          <w:b/>
          <w:bCs/>
          <w:color w:val="ff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6.用</w:t>
      </w:r>
      <w:r>
        <w:rPr>
          <w:rFonts w:hint="eastAsia" w:ascii="宋体" w:hAnsi="宋体" w:eastAsia="宋体" w:cs="宋体"/>
          <w:b/>
          <w:bCs/>
          <w:color w:val="ff0000"/>
          <w:sz w:val="24"/>
          <w:szCs w:val="24"/>
          <w:shd w:val="clear" w:color="auto" w:fill="ffffff"/>
          <w:lang w:val="en-US" w:eastAsia="zh-CN"/>
        </w:rPr>
        <w:t xml:space="preserve">横</w:t>
      </w:r>
      <w:r>
        <w:rPr>
          <w:rFonts w:ascii="宋体" w:hAnsi="宋体" w:eastAsia="宋体" w:cs="宋体"/>
          <w:b/>
          <w:bCs/>
          <w:color w:val="ff0000"/>
          <w:sz w:val="24"/>
          <w:szCs w:val="24"/>
          <w:shd w:val="clear" w:color="auto" w:fill="ffffff"/>
        </w:rPr>
        <w:t xml:space="preserve">线划除的地方无需填写。</w:t>
      </w:r>
      <w:r/>
    </w:p>
    <w:p>
      <w:pPr>
        <w:pStyle w:val="682"/>
        <w:jc w:val="both"/>
        <w:keepLines w:val="0"/>
        <w:keepNext w:val="0"/>
        <w:pageBreakBefore w:val="0"/>
        <w:spacing w:beforeAutospacing="0" w:afterAutospacing="0" w:line="400" w:lineRule="exact"/>
        <w:widowControl w:val="off"/>
        <w:rPr>
          <w:rFonts w:ascii="宋体" w:hAnsi="宋体" w:eastAsia="宋体" w:cs="宋体"/>
          <w:b/>
          <w:bCs/>
          <w:color w:val="ff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shd w:val="clear" w:color="auto" w:fill="ffffff"/>
          <w:lang w:val="en-US" w:eastAsia="zh-CN"/>
        </w:rPr>
        <w:t xml:space="preserve">备注：</w:t>
      </w:r>
      <w:r>
        <w:rPr>
          <w:rFonts w:hint="eastAsia" w:ascii="宋体" w:hAnsi="宋体" w:eastAsia="宋体" w:cs="宋体"/>
          <w:b/>
          <w:bCs/>
          <w:color w:val="ff0000"/>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682"/>
        <w:jc w:val="both"/>
        <w:keepLines w:val="0"/>
        <w:keepNext w:val="0"/>
        <w:pageBreakBefore w:val="0"/>
        <w:spacing w:beforeAutospacing="0" w:afterAutospacing="0" w:line="400" w:lineRule="exact"/>
        <w:widowControl w:val="off"/>
        <w:rPr>
          <w:rFonts w:hint="eastAsia" w:ascii="宋体" w:hAnsi="宋体" w:eastAsia="宋体" w:cs="宋体"/>
          <w:b/>
          <w:bCs/>
          <w:color w:val="ff0000"/>
          <w:sz w:val="24"/>
          <w:szCs w:val="24"/>
          <w:u w:val="single"/>
        </w:rPr>
      </w:pPr>
      <w:r>
        <w:rPr>
          <w:rFonts w:hint="eastAsia" w:ascii="宋体" w:hAnsi="宋体" w:eastAsia="宋体" w:cs="宋体"/>
          <w:b/>
          <w:bCs/>
          <w:color w:val="ff0000"/>
          <w:sz w:val="24"/>
          <w:szCs w:val="24"/>
          <w:u w:val="single"/>
        </w:rPr>
      </w:r>
      <w:r/>
    </w:p>
    <w:p>
      <w:pPr>
        <w:rPr>
          <w:rFonts w:hint="eastAsia" w:ascii="宋体" w:hAnsi="宋体" w:eastAsia="宋体" w:cs="宋体"/>
          <w:b/>
          <w:bCs/>
          <w:color w:val="ff0000"/>
          <w:sz w:val="24"/>
        </w:rPr>
      </w:pPr>
      <w:r>
        <w:rPr>
          <w:rFonts w:hint="eastAsia" w:ascii="宋体" w:hAnsi="宋体" w:eastAsia="宋体" w:cs="宋体"/>
          <w:b/>
          <w:bCs/>
          <w:color w:val="ff0000"/>
          <w:sz w:val="24"/>
        </w:rPr>
        <w:br w:type="page" w:clear="all"/>
      </w:r>
      <w:r/>
    </w:p>
    <w:p>
      <w:pPr>
        <w:pStyle w:val="682"/>
        <w:ind w:firstLine="0"/>
        <w:jc w:val="center"/>
        <w:spacing w:beforeAutospacing="0" w:afterAutospacing="0" w:line="460" w:lineRule="exact"/>
        <w:widowControl w:val="off"/>
        <w:rPr>
          <w:rFonts w:hint="eastAsia" w:ascii="黑体" w:hAnsi="黑体" w:eastAsia="黑体" w:cs="黑体"/>
          <w:i/>
          <w:sz w:val="32"/>
          <w:szCs w:val="32"/>
          <w:u w:val="single"/>
        </w:rPr>
        <w:outlineLvl w:val="1"/>
      </w:pPr>
      <w:r>
        <w:rPr>
          <w:rFonts w:hint="eastAsia" w:ascii="黑体" w:hAnsi="黑体" w:eastAsia="黑体" w:cs="黑体"/>
          <w:iCs/>
          <w:sz w:val="32"/>
          <w:szCs w:val="32"/>
        </w:rPr>
        <w:t xml:space="preserve">十二、</w:t>
      </w:r>
      <w:bookmarkEnd w:id="195"/>
      <w:r/>
      <w:bookmarkEnd w:id="196"/>
      <w:r/>
      <w:bookmarkStart w:id="197" w:name="OLE_LINK71"/>
      <w:r>
        <w:rPr>
          <w:rFonts w:hint="eastAsia" w:ascii="黑体" w:hAnsi="黑体" w:eastAsia="黑体" w:cs="黑体"/>
          <w:iCs/>
          <w:sz w:val="32"/>
          <w:szCs w:val="32"/>
        </w:rPr>
        <w:t xml:space="preserve">投标分项报价表</w:t>
      </w:r>
      <w:r/>
    </w:p>
    <w:p>
      <w:pPr>
        <w:ind w:firstLine="241"/>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按照采购清单内容，自行填报，金额单位：人民币元。</w:t>
      </w:r>
      <w:r/>
    </w:p>
    <w:tbl>
      <w:tblPr>
        <w:tblStyle w:val="658"/>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82"/>
              <w:ind w:firstLine="0"/>
              <w:jc w:val="center"/>
              <w:spacing w:beforeAutospacing="0" w:afterAutospacing="0" w:line="0" w:lineRule="atLeast"/>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82"/>
              <w:ind w:firstLine="0"/>
              <w:jc w:val="center"/>
              <w:spacing w:beforeAutospacing="0" w:afterAutospacing="0"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82"/>
              <w:ind w:firstLine="0"/>
              <w:jc w:val="center"/>
              <w:spacing w:beforeAutospacing="0" w:afterAutospacing="0" w:line="0" w:lineRule="atLeas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82"/>
              <w:ind w:firstLine="0"/>
              <w:jc w:val="center"/>
              <w:spacing w:beforeAutospacing="0" w:afterAutospacing="0"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82"/>
              <w:ind w:firstLine="0"/>
              <w:jc w:val="center"/>
              <w:spacing w:beforeAutospacing="0" w:afterAutospacing="0" w:line="0" w:lineRule="atLeast"/>
            </w:pPr>
            <w:r>
              <w:rPr>
                <w:rFonts w:hint="eastAsia" w:ascii="宋体" w:hAnsi="宋体" w:eastAsia="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82"/>
              <w:ind w:firstLine="0"/>
              <w:jc w:val="center"/>
              <w:spacing w:beforeAutospacing="0" w:afterAutospacing="0" w:line="0" w:lineRule="atLeast"/>
            </w:pPr>
            <w:r>
              <w:rPr>
                <w:rFonts w:hint="eastAsia" w:ascii="宋体" w:hAnsi="宋体" w:eastAsia="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2"/>
              <w:ind w:firstLine="0"/>
              <w:jc w:val="center"/>
              <w:spacing w:beforeAutospacing="0" w:afterAutospacing="0" w:line="0" w:lineRule="atLeast"/>
            </w:pPr>
            <w:r>
              <w:rPr>
                <w:rFonts w:hint="eastAsia" w:ascii="宋体" w:hAnsi="宋体" w:eastAsia="宋体" w:cs="宋体"/>
                <w:color w:val="000000"/>
              </w:rPr>
              <w:t xml:space="preserve">6</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2"/>
              <w:ind w:firstLine="0"/>
              <w:jc w:val="center"/>
              <w:spacing w:beforeAutospacing="0" w:afterAutospacing="0" w:line="0" w:lineRule="atLeast"/>
            </w:pPr>
            <w:r>
              <w:rPr>
                <w:rFonts w:hint="eastAsia" w:ascii="宋体" w:hAnsi="宋体" w:eastAsia="宋体" w:cs="宋体"/>
                <w:color w:val="000000"/>
              </w:rPr>
              <w:t xml:space="preserve">7</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2"/>
              <w:ind w:firstLine="0"/>
              <w:jc w:val="center"/>
              <w:spacing w:beforeAutospacing="0" w:afterAutospacing="0" w:line="0" w:lineRule="atLeast"/>
            </w:pPr>
            <w:r>
              <w:rPr>
                <w:rFonts w:hint="eastAsia" w:ascii="宋体" w:hAnsi="宋体" w:eastAsia="宋体" w:cs="宋体"/>
                <w:color w:val="000000"/>
              </w:rPr>
              <w:t xml:space="preserve">8</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82"/>
              <w:ind w:firstLine="0"/>
              <w:jc w:val="center"/>
              <w:spacing w:beforeAutospacing="0" w:afterAutospacing="0"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82"/>
              <w:ind w:firstLine="0"/>
              <w:jc w:val="center"/>
              <w:spacing w:beforeAutospacing="0" w:afterAutospacing="0" w:line="0" w:lineRule="atLeast"/>
            </w:pPr>
            <w:r>
              <w:rPr>
                <w:rFonts w:hint="eastAsia" w:ascii="宋体" w:hAnsi="宋体" w:eastAsia="宋体" w:cs="宋体"/>
                <w:color w:val="000000"/>
              </w:rPr>
              <w:t xml:space="preserve">产品</w:t>
            </w:r>
            <w:r/>
          </w:p>
          <w:p>
            <w:pPr>
              <w:pStyle w:val="682"/>
              <w:ind w:firstLine="0"/>
              <w:jc w:val="center"/>
              <w:spacing w:beforeAutospacing="0" w:afterAutospacing="0" w:line="0" w:lineRule="atLeast"/>
            </w:pPr>
            <w:r>
              <w:rPr>
                <w:rFonts w:hint="eastAsia" w:ascii="宋体" w:hAnsi="宋体" w:eastAsia="宋体" w:cs="宋体"/>
                <w:color w:val="000000"/>
              </w:rPr>
              <w:t xml:space="preserve">名称</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82"/>
              <w:ind w:firstLine="0"/>
              <w:jc w:val="center"/>
              <w:spacing w:beforeAutospacing="0" w:afterAutospacing="0" w:line="0" w:lineRule="atLeast"/>
            </w:pPr>
            <w:r>
              <w:rPr>
                <w:rFonts w:hint="eastAsia" w:ascii="宋体" w:hAnsi="宋体" w:eastAsia="宋体" w:cs="宋体"/>
                <w:color w:val="000000"/>
              </w:rPr>
              <w:t xml:space="preserve">品牌</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82"/>
              <w:ind w:firstLine="0"/>
              <w:jc w:val="center"/>
              <w:spacing w:beforeAutospacing="0" w:afterAutospacing="0" w:line="0" w:lineRule="atLeast"/>
            </w:pPr>
            <w:r>
              <w:rPr>
                <w:rFonts w:hint="eastAsia" w:ascii="宋体" w:hAnsi="宋体" w:eastAsia="宋体" w:cs="宋体"/>
                <w:color w:val="000000"/>
              </w:rPr>
              <w:t xml:space="preserve">型号</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82"/>
              <w:ind w:firstLine="0"/>
              <w:jc w:val="center"/>
              <w:spacing w:beforeAutospacing="0" w:afterAutospacing="0" w:line="0" w:lineRule="atLeast"/>
            </w:pPr>
            <w:r>
              <w:rPr>
                <w:rFonts w:hint="eastAsia" w:ascii="宋体" w:hAnsi="宋体" w:eastAsia="宋体" w:cs="宋体"/>
                <w:color w:val="000000"/>
              </w:rPr>
              <w:t xml:space="preserve">产地</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82"/>
              <w:ind w:firstLine="0"/>
              <w:jc w:val="center"/>
              <w:spacing w:beforeAutospacing="0" w:afterAutospacing="0" w:line="0" w:lineRule="atLeast"/>
            </w:pPr>
            <w:r>
              <w:rPr>
                <w:rFonts w:hint="eastAsia" w:ascii="宋体" w:hAnsi="宋体" w:eastAsia="宋体" w:cs="宋体"/>
                <w:color w:val="000000"/>
              </w:rPr>
              <w:t xml:space="preserve">交付期</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2"/>
              <w:ind w:firstLine="0"/>
              <w:jc w:val="center"/>
              <w:spacing w:beforeAutospacing="0" w:afterAutospacing="0" w:line="0" w:lineRule="atLeast"/>
            </w:pPr>
            <w:r>
              <w:rPr>
                <w:rFonts w:hint="eastAsia" w:ascii="宋体" w:hAnsi="宋体" w:eastAsia="宋体"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2"/>
              <w:ind w:firstLine="0"/>
              <w:jc w:val="center"/>
              <w:spacing w:beforeAutospacing="0" w:afterAutospacing="0" w:line="0" w:lineRule="atLeast"/>
            </w:pPr>
            <w:r>
              <w:rPr>
                <w:rFonts w:hint="eastAsia" w:ascii="宋体" w:hAnsi="宋体" w:eastAsia="宋体" w:cs="宋体"/>
                <w:color w:val="000000"/>
              </w:rPr>
              <w:t xml:space="preserve">分项单价</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2"/>
              <w:ind w:firstLine="0"/>
              <w:jc w:val="center"/>
              <w:spacing w:beforeAutospacing="0" w:afterAutospacing="0" w:line="0" w:lineRule="atLeast"/>
            </w:pPr>
            <w:r>
              <w:rPr>
                <w:rFonts w:hint="eastAsia" w:ascii="宋体" w:hAnsi="宋体" w:eastAsia="宋体" w:cs="宋体"/>
                <w:color w:val="000000"/>
              </w:rPr>
              <w:t xml:space="preserve">分项总价</w:t>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82"/>
              <w:ind w:firstLine="0"/>
              <w:jc w:val="center"/>
              <w:spacing w:beforeAutospacing="0" w:afterAutospacing="0" w:line="0" w:lineRule="atLeas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82"/>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82"/>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82"/>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82"/>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82"/>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2"/>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2"/>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2"/>
              <w:ind w:firstLine="0"/>
              <w:jc w:val="both"/>
              <w:spacing w:beforeAutospacing="0" w:afterAutospacing="0" w:line="0" w:lineRule="atLeast"/>
            </w:pPr>
            <w:r>
              <w:t xml:space="preserve"> </w:t>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82"/>
              <w:ind w:firstLine="0"/>
              <w:jc w:val="center"/>
              <w:spacing w:beforeAutospacing="0" w:afterAutospacing="0"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82"/>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82"/>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82"/>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82"/>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82"/>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2"/>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2"/>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2"/>
              <w:ind w:firstLine="0"/>
              <w:jc w:val="both"/>
              <w:spacing w:beforeAutospacing="0" w:afterAutospacing="0" w:line="0" w:lineRule="atLeast"/>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82"/>
              <w:ind w:firstLine="0"/>
              <w:jc w:val="center"/>
              <w:spacing w:beforeAutospacing="0" w:afterAutospacing="0" w:line="0" w:lineRule="atLeast"/>
            </w:pPr>
            <w:r>
              <w:rPr>
                <w:rFonts w:hint="eastAsia" w:ascii="宋体" w:hAnsi="宋体" w:eastAsia="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82"/>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82"/>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82"/>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82"/>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82"/>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2"/>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2"/>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2"/>
              <w:ind w:firstLine="0"/>
              <w:jc w:val="both"/>
              <w:spacing w:beforeAutospacing="0" w:afterAutospacing="0" w:line="0" w:lineRule="atLeast"/>
            </w:pPr>
            <w:r>
              <w:t xml:space="preserve"> </w:t>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82"/>
              <w:ind w:firstLine="0"/>
              <w:jc w:val="center"/>
              <w:spacing w:beforeAutospacing="0" w:afterAutospacing="0" w:line="0" w:lineRule="atLeast"/>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82"/>
              <w:ind w:firstLine="0"/>
              <w:jc w:val="both"/>
              <w:spacing w:beforeAutospacing="0" w:afterAutospacing="0" w:line="0" w:lineRule="atLeast"/>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82"/>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82"/>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82"/>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82"/>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2"/>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2"/>
              <w:ind w:firstLine="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2"/>
              <w:ind w:firstLine="0"/>
              <w:jc w:val="both"/>
              <w:spacing w:beforeAutospacing="0" w:afterAutospacing="0" w:line="0" w:lineRule="atLeast"/>
            </w:pPr>
            <w:r>
              <w:t xml:space="preserve"> </w:t>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682"/>
              <w:ind w:firstLine="0"/>
              <w:jc w:val="center"/>
              <w:spacing w:beforeAutospacing="0" w:afterAutospacing="0"/>
            </w:pPr>
            <w:r>
              <w:rPr>
                <w:rFonts w:hint="eastAsia" w:ascii="宋体" w:hAnsi="宋体" w:eastAsia="宋体" w:cs="宋体"/>
                <w:color w:val="000000"/>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2"/>
              <w:ind w:firstLine="0"/>
              <w:jc w:val="both"/>
              <w:spacing w:beforeAutospacing="0" w:afterAutospacing="0"/>
            </w:pPr>
            <w:r>
              <w:t xml:space="preserve"> </w:t>
            </w:r>
            <w:r/>
          </w:p>
        </w:tc>
      </w:tr>
      <w:tr>
        <w:trPr>
          <w:tblCellSpacing w:w="0" w:type="dxa"/>
          <w:trHeight w:val="1030"/>
        </w:trPr>
        <w:tc>
          <w:tcPr>
            <w:gridSpan w:val="9"/>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682"/>
              <w:ind w:firstLine="0"/>
              <w:jc w:val="both"/>
              <w:spacing w:beforeAutospacing="0" w:afterAutospacing="0"/>
            </w:pPr>
            <w:r>
              <w:rPr>
                <w:rFonts w:hint="eastAsia" w:asciiTheme="minorEastAsia" w:hAnsiTheme="minorEastAsia" w:cstheme="minorEastAsia"/>
                <w:color w:val="ff0000"/>
              </w:rPr>
              <w:t xml:space="preserve">本采购包中提供的符合本国产品标准的产品成本之和占该采购包提供的全部产品成本之和的比例为</w:t>
            </w:r>
            <w:r>
              <w:rPr>
                <w:rFonts w:hint="eastAsia" w:asciiTheme="minorEastAsia" w:hAnsiTheme="minorEastAsia" w:cstheme="minorEastAsia"/>
                <w:color w:val="ff0000"/>
                <w:u w:val="single"/>
                <w:lang w:val="en-US" w:eastAsia="zh-CN"/>
              </w:rPr>
              <w:t xml:space="preserve">    </w:t>
            </w:r>
            <w:r>
              <w:rPr>
                <w:rFonts w:hint="eastAsia" w:asciiTheme="minorEastAsia" w:hAnsiTheme="minorEastAsia" w:cstheme="minorEastAsia"/>
                <w:color w:val="ff0000"/>
              </w:rPr>
              <w:t xml:space="preserve">%。</w:t>
            </w:r>
            <w:r/>
          </w:p>
        </w:tc>
      </w:tr>
    </w:tbl>
    <w:p>
      <w:pPr>
        <w:ind w:firstLine="420"/>
        <w:jc w:val="left"/>
        <w:spacing w:line="500" w:lineRule="exact"/>
        <w:rPr>
          <w:rFonts w:hint="eastAsia" w:ascii="宋体" w:hAnsi="宋体" w:eastAsia="宋体" w:cs="宋体"/>
          <w:b/>
          <w:color w:val="000000"/>
          <w:sz w:val="24"/>
        </w:rPr>
      </w:pPr>
      <w:r>
        <w:rPr>
          <w:rFonts w:hint="eastAsia" w:ascii="宋体" w:hAnsi="宋体" w:eastAsia="宋体" w:cs="宋体"/>
          <w:b/>
          <w:color w:val="000000"/>
          <w:sz w:val="24"/>
        </w:rPr>
      </w:r>
      <w:r/>
    </w:p>
    <w:p>
      <w:pPr>
        <w:ind w:firstLine="420"/>
        <w:jc w:val="left"/>
        <w:spacing w:line="500" w:lineRule="exact"/>
        <w:rPr>
          <w:rFonts w:hint="eastAsia" w:ascii="宋体" w:hAnsi="宋体" w:eastAsia="宋体" w:cs="宋体"/>
          <w:b/>
          <w:color w:val="000000"/>
          <w:sz w:val="24"/>
        </w:rPr>
      </w:pPr>
      <w:r>
        <w:rPr>
          <w:rFonts w:hint="eastAsia" w:ascii="宋体" w:hAnsi="宋体" w:eastAsia="宋体" w:cs="宋体"/>
          <w:b/>
          <w:color w:val="000000"/>
          <w:sz w:val="24"/>
        </w:rPr>
      </w:r>
      <w:r/>
    </w:p>
    <w:p>
      <w:pPr>
        <w:pStyle w:val="682"/>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备注：</w:t>
      </w:r>
      <w:r/>
    </w:p>
    <w:p>
      <w:pPr>
        <w:pStyle w:val="682"/>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682"/>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w:t>
      </w:r>
      <w:r>
        <w:rPr>
          <w:rFonts w:ascii="Times New Roman" w:hAnsi="Times New Roman"/>
          <w:color w:val="000000"/>
          <w:sz w:val="21"/>
          <w:szCs w:val="21"/>
        </w:rPr>
        <w:t xml:space="preserve"> </w:t>
      </w:r>
      <w:r>
        <w:rPr>
          <w:rFonts w:hint="eastAsia" w:ascii="Times New Roman" w:hAnsi="Times New Roman"/>
          <w:color w:val="000000"/>
          <w:sz w:val="21"/>
          <w:szCs w:val="21"/>
        </w:rPr>
        <w:t xml:space="preserve">“</w:t>
      </w:r>
      <w:r>
        <w:rPr>
          <w:rFonts w:hint="eastAsia" w:ascii="宋体" w:hAnsi="宋体" w:eastAsia="宋体" w:cs="宋体"/>
          <w:color w:val="000000"/>
        </w:rPr>
        <w:t xml:space="preserve">投标分项报价表</w:t>
      </w:r>
      <w:r>
        <w:rPr>
          <w:rFonts w:hint="eastAsia" w:ascii="Times New Roman" w:hAnsi="Times New Roman"/>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spacing w:line="500" w:lineRule="exact"/>
        <w:rPr>
          <w:rFonts w:hint="eastAsia" w:ascii="宋体" w:hAnsi="宋体" w:eastAsia="宋体" w:cs="宋体"/>
          <w:color w:val="000000"/>
        </w:rPr>
      </w:pPr>
      <w:r>
        <w:rPr>
          <w:rFonts w:hint="eastAsia" w:asciiTheme="minorEastAsia" w:hAnsiTheme="minorEastAsia" w:cstheme="minorEastAsia"/>
          <w:color w:val="ff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682"/>
        <w:jc w:val="both"/>
        <w:spacing w:beforeAutospacing="0" w:afterAutospacing="0" w:line="500" w:lineRule="exact"/>
      </w:pPr>
      <w:r/>
      <w:r/>
    </w:p>
    <w:p>
      <w:pPr>
        <w:pStyle w:val="682"/>
        <w:jc w:val="both"/>
        <w:spacing w:beforeAutospacing="0" w:afterAutospacing="0" w:line="360" w:lineRule="auto"/>
      </w:pPr>
      <w:r>
        <w:t xml:space="preserve"> </w:t>
      </w:r>
      <w:bookmarkEnd w:id="197"/>
      <w:r/>
      <w:r/>
    </w:p>
    <w:p>
      <w:pPr>
        <w:rPr>
          <w:rFonts w:hint="eastAsia" w:ascii="黑体" w:hAnsi="黑体" w:eastAsia="黑体" w:cs="黑体"/>
          <w:i/>
          <w:sz w:val="32"/>
          <w:szCs w:val="32"/>
          <w:u w:val="single"/>
        </w:rPr>
      </w:pPr>
      <w:r/>
      <w:bookmarkStart w:id="198" w:name="OLE_LINK72"/>
      <w:r>
        <w:rPr>
          <w:rFonts w:hint="eastAsia" w:ascii="黑体" w:hAnsi="黑体" w:eastAsia="黑体" w:cs="黑体"/>
          <w:i/>
          <w:sz w:val="32"/>
          <w:szCs w:val="32"/>
          <w:u w:val="single"/>
        </w:rPr>
        <w:br w:type="page" w:clear="all"/>
      </w:r>
      <w:r/>
    </w:p>
    <w:p>
      <w:pPr>
        <w:pStyle w:val="682"/>
        <w:ind w:firstLine="0"/>
        <w:jc w:val="center"/>
        <w:spacing w:beforeAutospacing="0" w:afterAutospacing="0" w:line="360" w:lineRule="auto"/>
        <w:rPr>
          <w:rFonts w:hint="eastAsia" w:ascii="黑体" w:hAnsi="黑体" w:eastAsia="黑体" w:cs="黑体"/>
          <w:i/>
          <w:sz w:val="32"/>
          <w:szCs w:val="32"/>
          <w:u w:val="single"/>
        </w:rPr>
        <w:outlineLvl w:val="1"/>
      </w:pPr>
      <w:r>
        <w:rPr>
          <w:rFonts w:hint="eastAsia" w:ascii="黑体" w:hAnsi="黑体" w:eastAsia="黑体" w:cs="黑体"/>
          <w:iCs/>
          <w:sz w:val="32"/>
          <w:szCs w:val="32"/>
        </w:rPr>
        <w:t xml:space="preserve">十三、技术要求响应及偏离表</w:t>
      </w:r>
      <w:r/>
    </w:p>
    <w:p>
      <w:pPr>
        <w:pStyle w:val="682"/>
        <w:ind w:firstLine="0"/>
        <w:jc w:val="center"/>
        <w:spacing w:beforeAutospacing="0" w:afterAutospacing="0"/>
        <w:rPr>
          <w:rFonts w:hint="eastAsia" w:ascii="黑体" w:hAnsi="黑体" w:eastAsia="黑体" w:cs="黑体"/>
          <w:i/>
          <w:sz w:val="32"/>
          <w:szCs w:val="32"/>
          <w:u w:val="single"/>
        </w:rPr>
      </w:pPr>
      <w:r>
        <w:rPr>
          <w:rFonts w:hint="eastAsia" w:ascii="黑体" w:hAnsi="黑体" w:eastAsia="黑体" w:cs="黑体"/>
          <w:i/>
          <w:sz w:val="32"/>
          <w:szCs w:val="32"/>
          <w:u w:val="single"/>
        </w:rPr>
      </w:r>
      <w:r/>
    </w:p>
    <w:tbl>
      <w:tblPr>
        <w:tblStyle w:val="65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817"/>
        <w:gridCol w:w="2126"/>
        <w:gridCol w:w="2127"/>
        <w:gridCol w:w="2349"/>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2"/>
              <w:ind w:firstLine="0"/>
              <w:jc w:val="both"/>
              <w:spacing w:beforeAutospacing="0" w:afterAutospacing="0"/>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682"/>
              <w:ind w:firstLine="0"/>
              <w:jc w:val="both"/>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682"/>
              <w:ind w:firstLine="0"/>
              <w:jc w:val="both"/>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682"/>
              <w:ind w:firstLine="0"/>
              <w:jc w:val="both"/>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ind w:firstLine="0"/>
              <w:jc w:val="both"/>
              <w:spacing w:beforeAutospacing="0" w:afterAutospacing="0"/>
            </w:pPr>
            <w:r>
              <w:rPr>
                <w:rFonts w:hint="eastAsia" w:ascii="宋体" w:hAnsi="宋体" w:eastAsia="宋体" w:cs="宋体"/>
                <w:color w:val="000000"/>
              </w:rPr>
              <w:t xml:space="preserve">证明</w:t>
            </w:r>
            <w:r/>
          </w:p>
          <w:p>
            <w:pPr>
              <w:pStyle w:val="682"/>
              <w:ind w:firstLine="0"/>
              <w:jc w:val="both"/>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68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68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68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68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68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68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68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68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68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68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68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68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68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68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68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68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68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68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68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68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68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682"/>
              <w:jc w:val="center"/>
              <w:spacing w:beforeAutospacing="0" w:afterAutospacing="0"/>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68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68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2"/>
              <w:jc w:val="center"/>
              <w:spacing w:beforeAutospacing="0" w:afterAutospacing="0"/>
            </w:pPr>
            <w:r>
              <w:t xml:space="preserve"> </w:t>
            </w:r>
            <w:r/>
          </w:p>
        </w:tc>
      </w:tr>
    </w:tbl>
    <w:p>
      <w:pPr>
        <w:pStyle w:val="682"/>
        <w:jc w:val="both"/>
        <w:spacing w:beforeAutospacing="0" w:afterAutospacing="0"/>
      </w:pPr>
      <w:r>
        <w:rPr>
          <w:rFonts w:hint="eastAsia" w:ascii="宋体" w:hAnsi="宋体" w:eastAsia="宋体" w:cs="宋体"/>
          <w:color w:val="000000"/>
        </w:rPr>
        <w:t xml:space="preserve">注：行数不够，可自行添加。</w:t>
      </w:r>
      <w:r/>
    </w:p>
    <w:p>
      <w:pPr>
        <w:pStyle w:val="682"/>
        <w:jc w:val="center"/>
        <w:spacing w:beforeAutospacing="0" w:afterAutospacing="0"/>
      </w:pPr>
      <w:r>
        <w:t xml:space="preserve"> </w:t>
      </w:r>
      <w:r/>
    </w:p>
    <w:p>
      <w:pPr>
        <w:pStyle w:val="682"/>
        <w:jc w:val="center"/>
        <w:spacing w:beforeAutospacing="0" w:afterAutospacing="0"/>
      </w:pPr>
      <w:r>
        <w:t xml:space="preserve"> </w:t>
      </w:r>
      <w:r/>
    </w:p>
    <w:p>
      <w:pPr>
        <w:pStyle w:val="682"/>
        <w:jc w:val="center"/>
        <w:spacing w:beforeAutospacing="0" w:afterAutospacing="0"/>
      </w:pPr>
      <w:r>
        <w:t xml:space="preserve"> </w:t>
      </w:r>
      <w:r/>
    </w:p>
    <w:p>
      <w:pPr>
        <w:pStyle w:val="682"/>
        <w:jc w:val="center"/>
        <w:spacing w:beforeAutospacing="0" w:afterAutospacing="0"/>
      </w:pPr>
      <w:r>
        <w:t xml:space="preserve"> </w:t>
      </w:r>
      <w:r/>
    </w:p>
    <w:p>
      <w:pPr>
        <w:pStyle w:val="682"/>
        <w:jc w:val="both"/>
        <w:spacing w:beforeAutospacing="0" w:afterAutospacing="0"/>
      </w:pPr>
      <w:r>
        <w:t xml:space="preserve"> </w:t>
      </w:r>
      <w:r/>
    </w:p>
    <w:p>
      <w:pPr>
        <w:pStyle w:val="682"/>
        <w:jc w:val="both"/>
        <w:spacing w:beforeAutospacing="0" w:afterAutospacing="0"/>
      </w:pPr>
      <w:r>
        <w:t xml:space="preserve"> </w:t>
      </w:r>
      <w:r/>
    </w:p>
    <w:p>
      <w:pPr>
        <w:pStyle w:val="682"/>
        <w:jc w:val="both"/>
        <w:spacing w:beforeAutospacing="0" w:afterAutospacing="0"/>
      </w:pPr>
      <w:r>
        <w:t xml:space="preserve"> </w:t>
      </w:r>
      <w:r/>
    </w:p>
    <w:p>
      <w:pPr>
        <w:pStyle w:val="682"/>
        <w:jc w:val="both"/>
        <w:spacing w:beforeAutospacing="0" w:afterAutospacing="0"/>
      </w:pPr>
      <w:r>
        <w:t xml:space="preserve"> </w:t>
      </w:r>
      <w:r/>
    </w:p>
    <w:p>
      <w:pPr>
        <w:pStyle w:val="682"/>
        <w:jc w:val="both"/>
        <w:spacing w:beforeAutospacing="0" w:afterAutospacing="0"/>
      </w:pPr>
      <w:r>
        <w:t xml:space="preserve"> </w:t>
      </w:r>
      <w:bookmarkEnd w:id="198"/>
      <w:r/>
      <w:r/>
    </w:p>
    <w:p>
      <w:pPr>
        <w:pStyle w:val="682"/>
        <w:jc w:val="both"/>
        <w:spacing w:beforeAutospacing="0" w:afterAutospacing="0"/>
      </w:pPr>
      <w:r/>
      <w:r/>
    </w:p>
    <w:p>
      <w:pPr>
        <w:pStyle w:val="682"/>
        <w:jc w:val="both"/>
        <w:spacing w:beforeAutospacing="0" w:afterAutospacing="0"/>
      </w:pPr>
      <w:r/>
      <w:r/>
    </w:p>
    <w:p>
      <w:pPr>
        <w:pStyle w:val="682"/>
        <w:jc w:val="both"/>
        <w:spacing w:beforeAutospacing="0" w:afterAutospacing="0"/>
      </w:pPr>
      <w:r/>
      <w:r/>
    </w:p>
    <w:p>
      <w:pPr>
        <w:pStyle w:val="682"/>
        <w:jc w:val="both"/>
        <w:spacing w:beforeAutospacing="0" w:afterAutospacing="0"/>
      </w:pPr>
      <w:r/>
      <w:r/>
    </w:p>
    <w:p>
      <w:pPr>
        <w:pStyle w:val="682"/>
        <w:jc w:val="both"/>
        <w:spacing w:beforeAutospacing="0" w:afterAutospacing="0"/>
      </w:pPr>
      <w:r/>
      <w:r/>
    </w:p>
    <w:p>
      <w:pPr>
        <w:pStyle w:val="682"/>
        <w:jc w:val="both"/>
        <w:spacing w:beforeAutospacing="0" w:afterAutospacing="0"/>
      </w:pPr>
      <w:r/>
      <w:r/>
    </w:p>
    <w:p>
      <w:pPr>
        <w:pStyle w:val="682"/>
        <w:jc w:val="both"/>
        <w:spacing w:beforeAutospacing="0" w:afterAutospacing="0"/>
      </w:pPr>
      <w:r/>
      <w:r/>
    </w:p>
    <w:p>
      <w:pPr>
        <w:pStyle w:val="682"/>
        <w:jc w:val="both"/>
        <w:spacing w:beforeAutospacing="0" w:afterAutospacing="0"/>
      </w:pPr>
      <w:r/>
      <w:r/>
    </w:p>
    <w:p>
      <w:pPr>
        <w:pStyle w:val="682"/>
        <w:jc w:val="both"/>
        <w:spacing w:beforeAutospacing="0" w:afterAutospacing="0"/>
      </w:pPr>
      <w:r/>
      <w:r/>
    </w:p>
    <w:p>
      <w:pPr>
        <w:pStyle w:val="682"/>
        <w:jc w:val="both"/>
        <w:spacing w:beforeAutospacing="0" w:afterAutospacing="0"/>
      </w:pPr>
      <w:r/>
      <w:r/>
    </w:p>
    <w:p>
      <w:pPr>
        <w:pStyle w:val="682"/>
        <w:jc w:val="both"/>
        <w:spacing w:beforeAutospacing="0" w:afterAutospacing="0"/>
      </w:pPr>
      <w:r/>
      <w:r/>
    </w:p>
    <w:p>
      <w:pPr>
        <w:pStyle w:val="682"/>
        <w:jc w:val="both"/>
        <w:spacing w:beforeAutospacing="0" w:afterAutospacing="0"/>
      </w:pPr>
      <w:r/>
      <w:r/>
    </w:p>
    <w:p>
      <w:pPr>
        <w:pStyle w:val="682"/>
        <w:jc w:val="both"/>
        <w:spacing w:beforeAutospacing="0" w:afterAutospacing="0"/>
      </w:pPr>
      <w:r>
        <w:t xml:space="preserve"> </w:t>
      </w:r>
      <w:r/>
    </w:p>
    <w:p>
      <w:pPr>
        <w:pStyle w:val="682"/>
        <w:jc w:val="both"/>
        <w:spacing w:beforeAutospacing="0" w:afterAutospacing="0"/>
      </w:pPr>
      <w:r>
        <w:t xml:space="preserve"> </w:t>
      </w:r>
      <w:r/>
    </w:p>
    <w:p>
      <w:pPr>
        <w:rPr>
          <w:rFonts w:hint="eastAsia" w:ascii="黑体" w:hAnsi="黑体" w:eastAsia="黑体" w:cs="黑体"/>
          <w:i/>
          <w:sz w:val="32"/>
          <w:szCs w:val="32"/>
          <w:u w:val="single"/>
        </w:rPr>
      </w:pPr>
      <w:r/>
      <w:bookmarkStart w:id="199" w:name="OLE_LINK73"/>
      <w:r/>
      <w:bookmarkStart w:id="200" w:name="_Hlt26955054"/>
      <w:r>
        <w:rPr>
          <w:rFonts w:hint="eastAsia" w:ascii="黑体" w:hAnsi="黑体" w:eastAsia="黑体" w:cs="黑体"/>
          <w:i/>
          <w:sz w:val="32"/>
          <w:szCs w:val="32"/>
          <w:u w:val="single"/>
        </w:rPr>
        <w:br w:type="page" w:clear="all"/>
      </w:r>
      <w:r/>
    </w:p>
    <w:p>
      <w:pPr>
        <w:pStyle w:val="682"/>
        <w:ind w:firstLine="0"/>
        <w:jc w:val="center"/>
        <w:spacing w:beforeAutospacing="0" w:afterAutospacing="0"/>
        <w:rPr>
          <w:rFonts w:hint="eastAsia" w:ascii="黑体" w:hAnsi="黑体" w:eastAsia="黑体" w:cs="黑体"/>
          <w:iCs/>
          <w:sz w:val="32"/>
          <w:szCs w:val="32"/>
        </w:rPr>
        <w:outlineLvl w:val="1"/>
      </w:pPr>
      <w:r>
        <w:rPr>
          <w:rFonts w:hint="eastAsia" w:ascii="黑体" w:hAnsi="黑体" w:eastAsia="黑体" w:cs="黑体"/>
          <w:iCs/>
          <w:sz w:val="32"/>
          <w:szCs w:val="32"/>
        </w:rPr>
        <w:t xml:space="preserve">十四、商务要求响应及偏离表</w:t>
      </w:r>
      <w:r/>
    </w:p>
    <w:p>
      <w:pPr>
        <w:pStyle w:val="682"/>
        <w:ind w:firstLine="0"/>
        <w:jc w:val="center"/>
        <w:spacing w:beforeAutospacing="0" w:afterAutospacing="0"/>
        <w:rPr>
          <w:rFonts w:hint="eastAsia" w:ascii="黑体" w:hAnsi="黑体" w:eastAsia="黑体" w:cs="黑体"/>
          <w:i/>
          <w:sz w:val="32"/>
          <w:szCs w:val="32"/>
          <w:u w:val="single"/>
        </w:rPr>
      </w:pPr>
      <w:r>
        <w:rPr>
          <w:rFonts w:hint="eastAsia" w:ascii="黑体" w:hAnsi="黑体" w:eastAsia="黑体" w:cs="黑体"/>
          <w:i/>
          <w:sz w:val="32"/>
          <w:szCs w:val="32"/>
          <w:u w:val="single"/>
        </w:rPr>
      </w:r>
      <w:r/>
    </w:p>
    <w:tbl>
      <w:tblPr>
        <w:tblStyle w:val="658"/>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843"/>
        <w:gridCol w:w="2410"/>
        <w:gridCol w:w="2349"/>
        <w:gridCol w:w="1101"/>
      </w:tblGrid>
      <w:tr>
        <w:trPr>
          <w:tblCellSpacing w:w="0" w:type="dxa"/>
        </w:trPr>
        <w:tc>
          <w:tcPr>
            <w:tcW w:w="817" w:type="dxa"/>
            <w:vAlign w:val="center"/>
            <w:textDirection w:val="lrTb"/>
            <w:noWrap w:val="false"/>
          </w:tcPr>
          <w:p>
            <w:pPr>
              <w:pStyle w:val="682"/>
              <w:ind w:firstLine="0"/>
              <w:jc w:val="both"/>
              <w:spacing w:beforeAutospacing="0" w:afterAutospacing="0"/>
            </w:pPr>
            <w:r/>
            <w:bookmarkStart w:id="201" w:name="_Hlt26955056"/>
            <w:r/>
            <w:bookmarkStart w:id="202" w:name="_Hlt26955064"/>
            <w:r/>
            <w:bookmarkStart w:id="203" w:name="_Hlt26609391"/>
            <w:r/>
            <w:bookmarkStart w:id="204" w:name="_Hlt26782999"/>
            <w:r/>
            <w:bookmarkStart w:id="205" w:name="_Hlt26580838"/>
            <w:r/>
            <w:bookmarkStart w:id="206" w:name="_Hlt26671372"/>
            <w:r/>
            <w:bookmarkStart w:id="207" w:name="_Hlt26671343"/>
            <w:r/>
            <w:bookmarkStart w:id="208" w:name="_Hlt24879081"/>
            <w:r>
              <w:rPr>
                <w:rFonts w:hint="eastAsia" w:ascii="宋体" w:hAnsi="宋体" w:eastAsia="宋体" w:cs="宋体"/>
                <w:color w:val="000000"/>
              </w:rPr>
              <w:t xml:space="preserve">序号</w:t>
            </w:r>
            <w:bookmarkEnd w:id="201"/>
            <w:r/>
            <w:bookmarkEnd w:id="202"/>
            <w:r/>
            <w:bookmarkEnd w:id="203"/>
            <w:r/>
            <w:bookmarkEnd w:id="204"/>
            <w:r/>
            <w:bookmarkEnd w:id="205"/>
            <w:r/>
            <w:bookmarkEnd w:id="206"/>
            <w:r/>
            <w:bookmarkEnd w:id="207"/>
            <w:r/>
            <w:bookmarkEnd w:id="208"/>
            <w:r/>
            <w:r/>
          </w:p>
        </w:tc>
        <w:tc>
          <w:tcPr>
            <w:tcW w:w="1843" w:type="dxa"/>
            <w:vAlign w:val="center"/>
            <w:textDirection w:val="lrTb"/>
            <w:noWrap w:val="false"/>
          </w:tcPr>
          <w:p>
            <w:pPr>
              <w:pStyle w:val="682"/>
              <w:ind w:firstLine="0"/>
              <w:jc w:val="both"/>
              <w:spacing w:beforeAutospacing="0" w:afterAutospacing="0"/>
            </w:pPr>
            <w:r>
              <w:rPr>
                <w:rFonts w:hint="eastAsia" w:ascii="宋体" w:hAnsi="宋体" w:eastAsia="宋体" w:cs="宋体"/>
                <w:color w:val="000000"/>
              </w:rPr>
              <w:t xml:space="preserve">招标文件要求</w:t>
            </w:r>
            <w:r/>
          </w:p>
        </w:tc>
        <w:tc>
          <w:tcPr>
            <w:tcW w:w="2410" w:type="dxa"/>
            <w:vAlign w:val="center"/>
            <w:textDirection w:val="lrTb"/>
            <w:noWrap w:val="false"/>
          </w:tcPr>
          <w:p>
            <w:pPr>
              <w:pStyle w:val="682"/>
              <w:jc w:val="center"/>
              <w:spacing w:beforeAutospacing="0" w:afterAutospacing="0"/>
            </w:pPr>
            <w:r>
              <w:rPr>
                <w:rFonts w:hint="eastAsia" w:ascii="宋体" w:hAnsi="宋体" w:eastAsia="宋体" w:cs="宋体"/>
                <w:color w:val="000000"/>
              </w:rPr>
              <w:t xml:space="preserve">投标响应情况</w:t>
            </w:r>
            <w:r/>
          </w:p>
        </w:tc>
        <w:tc>
          <w:tcPr>
            <w:tcW w:w="2349" w:type="dxa"/>
            <w:vAlign w:val="center"/>
            <w:textDirection w:val="lrTb"/>
            <w:noWrap w:val="false"/>
          </w:tcPr>
          <w:p>
            <w:pPr>
              <w:pStyle w:val="682"/>
              <w:ind w:firstLine="0"/>
              <w:jc w:val="both"/>
              <w:spacing w:beforeAutospacing="0" w:afterAutospacing="0"/>
            </w:pPr>
            <w:r>
              <w:rPr>
                <w:rFonts w:hint="eastAsia" w:ascii="宋体" w:hAnsi="宋体" w:eastAsia="宋体" w:cs="宋体"/>
                <w:color w:val="000000"/>
              </w:rPr>
              <w:t xml:space="preserve">超出、符合或偏离</w:t>
            </w:r>
            <w:r/>
          </w:p>
        </w:tc>
        <w:tc>
          <w:tcPr>
            <w:tcW w:w="1101" w:type="dxa"/>
            <w:vAlign w:val="center"/>
            <w:textDirection w:val="lrTb"/>
            <w:noWrap w:val="false"/>
          </w:tcPr>
          <w:p>
            <w:pPr>
              <w:pStyle w:val="682"/>
              <w:ind w:firstLine="0"/>
              <w:jc w:val="both"/>
              <w:spacing w:beforeAutospacing="0" w:afterAutospacing="0"/>
            </w:pPr>
            <w:r>
              <w:rPr>
                <w:rFonts w:hint="eastAsia" w:ascii="宋体" w:hAnsi="宋体" w:eastAsia="宋体" w:cs="宋体"/>
                <w:color w:val="000000"/>
              </w:rPr>
              <w:t xml:space="preserve">证明</w:t>
            </w:r>
            <w:r/>
          </w:p>
          <w:p>
            <w:pPr>
              <w:pStyle w:val="682"/>
              <w:ind w:firstLine="0"/>
              <w:jc w:val="both"/>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W w:w="817" w:type="dxa"/>
            <w:vAlign w:val="center"/>
            <w:textDirection w:val="lrTb"/>
            <w:noWrap w:val="false"/>
          </w:tcPr>
          <w:p>
            <w:pPr>
              <w:pStyle w:val="682"/>
              <w:jc w:val="center"/>
              <w:spacing w:beforeAutospacing="0" w:afterAutospacing="0"/>
            </w:pPr>
            <w:r>
              <w:t xml:space="preserve"> </w:t>
            </w:r>
            <w:r/>
          </w:p>
        </w:tc>
        <w:tc>
          <w:tcPr>
            <w:tcW w:w="1843" w:type="dxa"/>
            <w:vAlign w:val="center"/>
            <w:textDirection w:val="lrTb"/>
            <w:noWrap w:val="false"/>
          </w:tcPr>
          <w:p>
            <w:pPr>
              <w:pStyle w:val="682"/>
              <w:jc w:val="center"/>
              <w:spacing w:beforeAutospacing="0" w:afterAutospacing="0"/>
            </w:pPr>
            <w:r>
              <w:t xml:space="preserve"> </w:t>
            </w:r>
            <w:r/>
          </w:p>
        </w:tc>
        <w:tc>
          <w:tcPr>
            <w:tcW w:w="2410" w:type="dxa"/>
            <w:vAlign w:val="center"/>
            <w:textDirection w:val="lrTb"/>
            <w:noWrap w:val="false"/>
          </w:tcPr>
          <w:p>
            <w:pPr>
              <w:pStyle w:val="682"/>
              <w:jc w:val="center"/>
              <w:spacing w:beforeAutospacing="0" w:afterAutospacing="0"/>
            </w:pPr>
            <w:r>
              <w:t xml:space="preserve"> </w:t>
            </w:r>
            <w:r/>
          </w:p>
        </w:tc>
        <w:tc>
          <w:tcPr>
            <w:tcW w:w="2349" w:type="dxa"/>
            <w:vAlign w:val="center"/>
            <w:textDirection w:val="lrTb"/>
            <w:noWrap w:val="false"/>
          </w:tcPr>
          <w:p>
            <w:pPr>
              <w:pStyle w:val="682"/>
              <w:jc w:val="center"/>
              <w:spacing w:beforeAutospacing="0" w:afterAutospacing="0"/>
            </w:pPr>
            <w:r>
              <w:t xml:space="preserve"> </w:t>
            </w:r>
            <w:r/>
          </w:p>
        </w:tc>
        <w:tc>
          <w:tcPr>
            <w:tcW w:w="1101" w:type="dxa"/>
            <w:vAlign w:val="center"/>
            <w:textDirection w:val="lrTb"/>
            <w:noWrap w:val="false"/>
          </w:tcPr>
          <w:p>
            <w:pPr>
              <w:pStyle w:val="682"/>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682"/>
              <w:jc w:val="center"/>
              <w:spacing w:beforeAutospacing="0" w:afterAutospacing="0"/>
            </w:pPr>
            <w:r>
              <w:t xml:space="preserve"> </w:t>
            </w:r>
            <w:r/>
          </w:p>
        </w:tc>
        <w:tc>
          <w:tcPr>
            <w:tcW w:w="1843" w:type="dxa"/>
            <w:vAlign w:val="center"/>
            <w:textDirection w:val="lrTb"/>
            <w:noWrap w:val="false"/>
          </w:tcPr>
          <w:p>
            <w:pPr>
              <w:pStyle w:val="682"/>
              <w:jc w:val="center"/>
              <w:spacing w:beforeAutospacing="0" w:afterAutospacing="0"/>
            </w:pPr>
            <w:r>
              <w:t xml:space="preserve"> </w:t>
            </w:r>
            <w:r/>
          </w:p>
        </w:tc>
        <w:tc>
          <w:tcPr>
            <w:tcW w:w="2410" w:type="dxa"/>
            <w:vAlign w:val="center"/>
            <w:textDirection w:val="lrTb"/>
            <w:noWrap w:val="false"/>
          </w:tcPr>
          <w:p>
            <w:pPr>
              <w:pStyle w:val="682"/>
              <w:jc w:val="center"/>
              <w:spacing w:beforeAutospacing="0" w:afterAutospacing="0"/>
            </w:pPr>
            <w:r>
              <w:t xml:space="preserve"> </w:t>
            </w:r>
            <w:r/>
          </w:p>
        </w:tc>
        <w:tc>
          <w:tcPr>
            <w:tcW w:w="2349" w:type="dxa"/>
            <w:vAlign w:val="center"/>
            <w:textDirection w:val="lrTb"/>
            <w:noWrap w:val="false"/>
          </w:tcPr>
          <w:p>
            <w:pPr>
              <w:pStyle w:val="682"/>
              <w:jc w:val="center"/>
              <w:spacing w:beforeAutospacing="0" w:afterAutospacing="0"/>
            </w:pPr>
            <w:r>
              <w:t xml:space="preserve"> </w:t>
            </w:r>
            <w:r/>
          </w:p>
        </w:tc>
        <w:tc>
          <w:tcPr>
            <w:tcW w:w="1101" w:type="dxa"/>
            <w:vAlign w:val="center"/>
            <w:textDirection w:val="lrTb"/>
            <w:noWrap w:val="false"/>
          </w:tcPr>
          <w:p>
            <w:pPr>
              <w:pStyle w:val="682"/>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682"/>
              <w:jc w:val="center"/>
              <w:spacing w:beforeAutospacing="0" w:afterAutospacing="0"/>
            </w:pPr>
            <w:r>
              <w:t xml:space="preserve"> </w:t>
            </w:r>
            <w:r/>
          </w:p>
        </w:tc>
        <w:tc>
          <w:tcPr>
            <w:tcW w:w="1843" w:type="dxa"/>
            <w:vAlign w:val="center"/>
            <w:textDirection w:val="lrTb"/>
            <w:noWrap w:val="false"/>
          </w:tcPr>
          <w:p>
            <w:pPr>
              <w:pStyle w:val="682"/>
              <w:jc w:val="center"/>
              <w:spacing w:beforeAutospacing="0" w:afterAutospacing="0"/>
            </w:pPr>
            <w:r>
              <w:t xml:space="preserve"> </w:t>
            </w:r>
            <w:r/>
          </w:p>
        </w:tc>
        <w:tc>
          <w:tcPr>
            <w:tcW w:w="2410" w:type="dxa"/>
            <w:vAlign w:val="center"/>
            <w:textDirection w:val="lrTb"/>
            <w:noWrap w:val="false"/>
          </w:tcPr>
          <w:p>
            <w:pPr>
              <w:pStyle w:val="682"/>
              <w:jc w:val="center"/>
              <w:spacing w:beforeAutospacing="0" w:afterAutospacing="0"/>
            </w:pPr>
            <w:r>
              <w:t xml:space="preserve"> </w:t>
            </w:r>
            <w:r/>
          </w:p>
        </w:tc>
        <w:tc>
          <w:tcPr>
            <w:tcW w:w="2349" w:type="dxa"/>
            <w:vAlign w:val="center"/>
            <w:textDirection w:val="lrTb"/>
            <w:noWrap w:val="false"/>
          </w:tcPr>
          <w:p>
            <w:pPr>
              <w:pStyle w:val="682"/>
              <w:jc w:val="center"/>
              <w:spacing w:beforeAutospacing="0" w:afterAutospacing="0"/>
            </w:pPr>
            <w:r>
              <w:t xml:space="preserve"> </w:t>
            </w:r>
            <w:r/>
          </w:p>
        </w:tc>
        <w:tc>
          <w:tcPr>
            <w:tcW w:w="1101" w:type="dxa"/>
            <w:vAlign w:val="center"/>
            <w:textDirection w:val="lrTb"/>
            <w:noWrap w:val="false"/>
          </w:tcPr>
          <w:p>
            <w:pPr>
              <w:pStyle w:val="682"/>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682"/>
              <w:jc w:val="center"/>
              <w:spacing w:beforeAutospacing="0" w:afterAutospacing="0"/>
            </w:pPr>
            <w:r>
              <w:t xml:space="preserve"> </w:t>
            </w:r>
            <w:r/>
          </w:p>
        </w:tc>
        <w:tc>
          <w:tcPr>
            <w:tcW w:w="1843" w:type="dxa"/>
            <w:vAlign w:val="center"/>
            <w:textDirection w:val="lrTb"/>
            <w:noWrap w:val="false"/>
          </w:tcPr>
          <w:p>
            <w:pPr>
              <w:pStyle w:val="682"/>
              <w:jc w:val="center"/>
              <w:spacing w:beforeAutospacing="0" w:afterAutospacing="0"/>
            </w:pPr>
            <w:r>
              <w:t xml:space="preserve"> </w:t>
            </w:r>
            <w:r/>
          </w:p>
        </w:tc>
        <w:tc>
          <w:tcPr>
            <w:tcW w:w="2410" w:type="dxa"/>
            <w:vAlign w:val="center"/>
            <w:textDirection w:val="lrTb"/>
            <w:noWrap w:val="false"/>
          </w:tcPr>
          <w:p>
            <w:pPr>
              <w:pStyle w:val="682"/>
              <w:jc w:val="center"/>
              <w:spacing w:beforeAutospacing="0" w:afterAutospacing="0"/>
            </w:pPr>
            <w:r>
              <w:t xml:space="preserve"> </w:t>
            </w:r>
            <w:r/>
          </w:p>
        </w:tc>
        <w:tc>
          <w:tcPr>
            <w:tcW w:w="2349" w:type="dxa"/>
            <w:vAlign w:val="center"/>
            <w:textDirection w:val="lrTb"/>
            <w:noWrap w:val="false"/>
          </w:tcPr>
          <w:p>
            <w:pPr>
              <w:pStyle w:val="682"/>
              <w:jc w:val="center"/>
              <w:spacing w:beforeAutospacing="0" w:afterAutospacing="0"/>
            </w:pPr>
            <w:r>
              <w:t xml:space="preserve"> </w:t>
            </w:r>
            <w:r/>
          </w:p>
        </w:tc>
        <w:tc>
          <w:tcPr>
            <w:tcW w:w="1101" w:type="dxa"/>
            <w:vAlign w:val="center"/>
            <w:textDirection w:val="lrTb"/>
            <w:noWrap w:val="false"/>
          </w:tcPr>
          <w:p>
            <w:pPr>
              <w:pStyle w:val="682"/>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682"/>
              <w:jc w:val="center"/>
              <w:spacing w:beforeAutospacing="0" w:afterAutospacing="0"/>
            </w:pPr>
            <w:r>
              <w:t xml:space="preserve"> </w:t>
            </w:r>
            <w:r/>
          </w:p>
        </w:tc>
        <w:tc>
          <w:tcPr>
            <w:tcW w:w="1843" w:type="dxa"/>
            <w:vAlign w:val="center"/>
            <w:textDirection w:val="lrTb"/>
            <w:noWrap w:val="false"/>
          </w:tcPr>
          <w:p>
            <w:pPr>
              <w:pStyle w:val="682"/>
              <w:jc w:val="center"/>
              <w:spacing w:beforeAutospacing="0" w:afterAutospacing="0"/>
            </w:pPr>
            <w:r>
              <w:t xml:space="preserve"> </w:t>
            </w:r>
            <w:r/>
          </w:p>
        </w:tc>
        <w:tc>
          <w:tcPr>
            <w:tcW w:w="2410" w:type="dxa"/>
            <w:vAlign w:val="center"/>
            <w:textDirection w:val="lrTb"/>
            <w:noWrap w:val="false"/>
          </w:tcPr>
          <w:p>
            <w:pPr>
              <w:pStyle w:val="682"/>
              <w:jc w:val="center"/>
              <w:spacing w:beforeAutospacing="0" w:afterAutospacing="0"/>
            </w:pPr>
            <w:r>
              <w:t xml:space="preserve"> </w:t>
            </w:r>
            <w:r/>
          </w:p>
        </w:tc>
        <w:tc>
          <w:tcPr>
            <w:tcW w:w="2349" w:type="dxa"/>
            <w:vAlign w:val="center"/>
            <w:textDirection w:val="lrTb"/>
            <w:noWrap w:val="false"/>
          </w:tcPr>
          <w:p>
            <w:pPr>
              <w:pStyle w:val="682"/>
              <w:jc w:val="center"/>
              <w:spacing w:beforeAutospacing="0" w:afterAutospacing="0"/>
            </w:pPr>
            <w:r>
              <w:t xml:space="preserve"> </w:t>
            </w:r>
            <w:r/>
          </w:p>
        </w:tc>
        <w:tc>
          <w:tcPr>
            <w:tcW w:w="1101" w:type="dxa"/>
            <w:vAlign w:val="center"/>
            <w:textDirection w:val="lrTb"/>
            <w:noWrap w:val="false"/>
          </w:tcPr>
          <w:p>
            <w:pPr>
              <w:pStyle w:val="682"/>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682"/>
              <w:jc w:val="center"/>
              <w:spacing w:beforeAutospacing="0" w:afterAutospacing="0"/>
            </w:pPr>
            <w:r>
              <w:t xml:space="preserve"> </w:t>
            </w:r>
            <w:r/>
          </w:p>
        </w:tc>
        <w:tc>
          <w:tcPr>
            <w:tcW w:w="1843" w:type="dxa"/>
            <w:vAlign w:val="center"/>
            <w:textDirection w:val="lrTb"/>
            <w:noWrap w:val="false"/>
          </w:tcPr>
          <w:p>
            <w:pPr>
              <w:pStyle w:val="682"/>
              <w:jc w:val="center"/>
              <w:spacing w:beforeAutospacing="0" w:afterAutospacing="0"/>
            </w:pPr>
            <w:r>
              <w:t xml:space="preserve"> </w:t>
            </w:r>
            <w:r/>
          </w:p>
        </w:tc>
        <w:tc>
          <w:tcPr>
            <w:tcW w:w="2410" w:type="dxa"/>
            <w:vAlign w:val="center"/>
            <w:textDirection w:val="lrTb"/>
            <w:noWrap w:val="false"/>
          </w:tcPr>
          <w:p>
            <w:pPr>
              <w:pStyle w:val="682"/>
              <w:jc w:val="center"/>
              <w:spacing w:beforeAutospacing="0" w:afterAutospacing="0"/>
            </w:pPr>
            <w:r>
              <w:t xml:space="preserve"> </w:t>
            </w:r>
            <w:r/>
          </w:p>
        </w:tc>
        <w:tc>
          <w:tcPr>
            <w:tcW w:w="2349" w:type="dxa"/>
            <w:vAlign w:val="center"/>
            <w:textDirection w:val="lrTb"/>
            <w:noWrap w:val="false"/>
          </w:tcPr>
          <w:p>
            <w:pPr>
              <w:pStyle w:val="682"/>
              <w:jc w:val="center"/>
              <w:spacing w:beforeAutospacing="0" w:afterAutospacing="0"/>
            </w:pPr>
            <w:r>
              <w:t xml:space="preserve"> </w:t>
            </w:r>
            <w:r/>
          </w:p>
        </w:tc>
        <w:tc>
          <w:tcPr>
            <w:tcW w:w="1101" w:type="dxa"/>
            <w:vAlign w:val="center"/>
            <w:textDirection w:val="lrTb"/>
            <w:noWrap w:val="false"/>
          </w:tcPr>
          <w:p>
            <w:pPr>
              <w:pStyle w:val="682"/>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682"/>
              <w:jc w:val="center"/>
              <w:spacing w:beforeAutospacing="0" w:afterAutospacing="0"/>
            </w:pPr>
            <w:r>
              <w:t xml:space="preserve"> </w:t>
            </w:r>
            <w:r/>
          </w:p>
        </w:tc>
        <w:tc>
          <w:tcPr>
            <w:tcW w:w="1843" w:type="dxa"/>
            <w:vAlign w:val="center"/>
            <w:textDirection w:val="lrTb"/>
            <w:noWrap w:val="false"/>
          </w:tcPr>
          <w:p>
            <w:pPr>
              <w:pStyle w:val="682"/>
              <w:jc w:val="center"/>
              <w:spacing w:beforeAutospacing="0" w:afterAutospacing="0"/>
            </w:pPr>
            <w:r>
              <w:t xml:space="preserve"> </w:t>
            </w:r>
            <w:r/>
          </w:p>
        </w:tc>
        <w:tc>
          <w:tcPr>
            <w:tcW w:w="2410" w:type="dxa"/>
            <w:vAlign w:val="center"/>
            <w:textDirection w:val="lrTb"/>
            <w:noWrap w:val="false"/>
          </w:tcPr>
          <w:p>
            <w:pPr>
              <w:pStyle w:val="682"/>
              <w:jc w:val="center"/>
              <w:spacing w:beforeAutospacing="0" w:afterAutospacing="0"/>
            </w:pPr>
            <w:r>
              <w:t xml:space="preserve"> </w:t>
            </w:r>
            <w:r/>
          </w:p>
        </w:tc>
        <w:tc>
          <w:tcPr>
            <w:tcW w:w="2349" w:type="dxa"/>
            <w:vAlign w:val="center"/>
            <w:textDirection w:val="lrTb"/>
            <w:noWrap w:val="false"/>
          </w:tcPr>
          <w:p>
            <w:pPr>
              <w:pStyle w:val="682"/>
              <w:jc w:val="center"/>
              <w:spacing w:beforeAutospacing="0" w:afterAutospacing="0"/>
            </w:pPr>
            <w:r>
              <w:t xml:space="preserve"> </w:t>
            </w:r>
            <w:r/>
          </w:p>
        </w:tc>
        <w:tc>
          <w:tcPr>
            <w:tcW w:w="1101" w:type="dxa"/>
            <w:vAlign w:val="center"/>
            <w:textDirection w:val="lrTb"/>
            <w:noWrap w:val="false"/>
          </w:tcPr>
          <w:p>
            <w:pPr>
              <w:pStyle w:val="682"/>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682"/>
              <w:jc w:val="center"/>
              <w:spacing w:beforeAutospacing="0" w:afterAutospacing="0"/>
            </w:pPr>
            <w:r>
              <w:t xml:space="preserve"> </w:t>
            </w:r>
            <w:r/>
          </w:p>
        </w:tc>
        <w:tc>
          <w:tcPr>
            <w:tcW w:w="1843" w:type="dxa"/>
            <w:vAlign w:val="center"/>
            <w:textDirection w:val="lrTb"/>
            <w:noWrap w:val="false"/>
          </w:tcPr>
          <w:p>
            <w:pPr>
              <w:pStyle w:val="682"/>
              <w:jc w:val="center"/>
              <w:spacing w:beforeAutospacing="0" w:afterAutospacing="0"/>
            </w:pPr>
            <w:r>
              <w:rPr>
                <w:rFonts w:hint="eastAsia" w:ascii="宋体" w:hAnsi="宋体" w:eastAsia="宋体" w:cs="宋体"/>
                <w:color w:val="000000"/>
              </w:rPr>
              <w:t xml:space="preserve">……</w:t>
            </w:r>
            <w:r/>
          </w:p>
        </w:tc>
        <w:tc>
          <w:tcPr>
            <w:tcW w:w="2410" w:type="dxa"/>
            <w:vAlign w:val="center"/>
            <w:textDirection w:val="lrTb"/>
            <w:noWrap w:val="false"/>
          </w:tcPr>
          <w:p>
            <w:pPr>
              <w:pStyle w:val="682"/>
              <w:jc w:val="center"/>
              <w:spacing w:beforeAutospacing="0" w:afterAutospacing="0"/>
            </w:pPr>
            <w:r>
              <w:t xml:space="preserve"> </w:t>
            </w:r>
            <w:r/>
          </w:p>
        </w:tc>
        <w:tc>
          <w:tcPr>
            <w:tcW w:w="2349" w:type="dxa"/>
            <w:vAlign w:val="center"/>
            <w:textDirection w:val="lrTb"/>
            <w:noWrap w:val="false"/>
          </w:tcPr>
          <w:p>
            <w:pPr>
              <w:pStyle w:val="682"/>
              <w:jc w:val="center"/>
              <w:spacing w:beforeAutospacing="0" w:afterAutospacing="0"/>
            </w:pPr>
            <w:r>
              <w:t xml:space="preserve"> </w:t>
            </w:r>
            <w:r/>
          </w:p>
        </w:tc>
        <w:tc>
          <w:tcPr>
            <w:tcW w:w="1101" w:type="dxa"/>
            <w:vAlign w:val="center"/>
            <w:textDirection w:val="lrTb"/>
            <w:noWrap w:val="false"/>
          </w:tcPr>
          <w:p>
            <w:pPr>
              <w:pStyle w:val="682"/>
              <w:jc w:val="center"/>
              <w:spacing w:beforeAutospacing="0" w:afterAutospacing="0"/>
            </w:pPr>
            <w:r>
              <w:t xml:space="preserve"> </w:t>
            </w:r>
            <w:r/>
          </w:p>
        </w:tc>
      </w:tr>
    </w:tbl>
    <w:p>
      <w:pPr>
        <w:pStyle w:val="682"/>
        <w:jc w:val="both"/>
        <w:spacing w:beforeAutospacing="0" w:afterAutospacing="0"/>
      </w:pPr>
      <w:r>
        <w:rPr>
          <w:rFonts w:hint="eastAsia" w:ascii="宋体" w:hAnsi="宋体" w:eastAsia="宋体" w:cs="宋体"/>
          <w:color w:val="000000"/>
        </w:rPr>
        <w:t xml:space="preserve">注：行数不够，可自行添加。</w:t>
      </w:r>
      <w:r/>
    </w:p>
    <w:p>
      <w:pPr>
        <w:pStyle w:val="682"/>
        <w:jc w:val="both"/>
        <w:spacing w:beforeAutospacing="0" w:afterAutospacing="0" w:line="480" w:lineRule="auto"/>
      </w:pPr>
      <w:r>
        <w:t xml:space="preserve"> </w:t>
      </w:r>
      <w:r/>
    </w:p>
    <w:p>
      <w:pPr>
        <w:pStyle w:val="682"/>
        <w:jc w:val="center"/>
        <w:spacing w:beforeAutospacing="0" w:afterAutospacing="0"/>
      </w:pPr>
      <w:r/>
      <w:bookmarkStart w:id="209" w:name="_格式2__法定代表人授权书"/>
      <w:r/>
      <w:bookmarkStart w:id="210" w:name="_Toc462564146"/>
      <w:r/>
      <w:bookmarkStart w:id="211" w:name="_Hlt26955066"/>
      <w:r/>
      <w:bookmarkStart w:id="212" w:name="_Hlt26609389"/>
      <w:r/>
      <w:bookmarkStart w:id="213" w:name="_Hlt26671374"/>
      <w:r>
        <w:t xml:space="preserve"> </w:t>
      </w:r>
      <w:bookmarkEnd w:id="199"/>
      <w:r/>
      <w:r/>
    </w:p>
    <w:p>
      <w:pPr>
        <w:pStyle w:val="682"/>
        <w:jc w:val="center"/>
        <w:spacing w:beforeAutospacing="0" w:afterAutospacing="0"/>
      </w:pPr>
      <w:r>
        <w:t xml:space="preserve"> </w:t>
      </w:r>
      <w:r/>
    </w:p>
    <w:p>
      <w:pPr>
        <w:pStyle w:val="682"/>
        <w:ind w:firstLine="321"/>
        <w:jc w:val="center"/>
        <w:spacing w:beforeAutospacing="0" w:afterAutospacing="0" w:line="0" w:lineRule="atLeas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682"/>
        <w:ind w:firstLine="321"/>
        <w:jc w:val="center"/>
        <w:spacing w:beforeAutospacing="0" w:afterAutospacing="0" w:line="0" w:lineRule="atLeas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682"/>
        <w:ind w:firstLine="321"/>
        <w:jc w:val="center"/>
        <w:spacing w:beforeAutospacing="0" w:afterAutospacing="0" w:line="0" w:lineRule="atLeas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682"/>
        <w:ind w:firstLine="321"/>
        <w:jc w:val="center"/>
        <w:spacing w:beforeAutospacing="0" w:afterAutospacing="0" w:line="0" w:lineRule="atLeas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682"/>
        <w:ind w:firstLine="321"/>
        <w:jc w:val="center"/>
        <w:spacing w:beforeAutospacing="0" w:afterAutospacing="0" w:line="0" w:lineRule="atLeas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682"/>
        <w:ind w:firstLine="321"/>
        <w:jc w:val="center"/>
        <w:spacing w:beforeAutospacing="0" w:afterAutospacing="0" w:line="0" w:lineRule="atLeas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682"/>
        <w:ind w:firstLine="321"/>
        <w:jc w:val="center"/>
        <w:spacing w:beforeAutospacing="0" w:afterAutospacing="0" w:line="0" w:lineRule="atLeas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682"/>
        <w:ind w:firstLine="321"/>
        <w:jc w:val="center"/>
        <w:spacing w:beforeAutospacing="0" w:afterAutospacing="0" w:line="0" w:lineRule="atLeas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br w:type="page" w:clear="all"/>
      </w:r>
      <w:r/>
    </w:p>
    <w:p>
      <w:pPr>
        <w:pStyle w:val="682"/>
        <w:ind w:firstLine="321"/>
        <w:jc w:val="center"/>
        <w:spacing w:beforeAutospacing="0" w:afterAutospacing="0" w:line="0" w:lineRule="atLeast"/>
        <w:rPr>
          <w:rFonts w:ascii="方正小标宋_GBK" w:hAnsi="方正小标宋_GBK" w:eastAsia="方正小标宋_GBK" w:cs="方正小标宋_GBK"/>
          <w:color w:val="000000"/>
          <w:sz w:val="32"/>
          <w:szCs w:val="32"/>
        </w:rPr>
        <w:outlineLvl w:val="1"/>
      </w:pPr>
      <w:r>
        <w:rPr>
          <w:rFonts w:hint="eastAsia" w:ascii="黑体" w:hAnsi="黑体" w:eastAsia="黑体" w:cs="黑体"/>
          <w:i/>
          <w:sz w:val="32"/>
          <w:szCs w:val="32"/>
          <w:u w:val="single"/>
        </w:rPr>
        <w:t xml:space="preserve">十五、开标一览表</w:t>
      </w:r>
      <w:r/>
    </w:p>
    <w:p>
      <w:pPr>
        <w:pStyle w:val="68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82"/>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投标人全称（CA公章）：    </w:t>
      </w:r>
      <w:r/>
    </w:p>
    <w:p>
      <w:pPr>
        <w:pStyle w:val="682"/>
        <w:jc w:val="both"/>
        <w:spacing w:beforeAutospacing="0" w:afterAutospacing="0" w:line="500" w:lineRule="exact"/>
        <w:rPr>
          <w:rFonts w:hint="eastAsia" w:ascii="宋体" w:hAnsi="宋体" w:eastAsia="宋体" w:cs="宋体"/>
          <w:color w:val="000000"/>
          <w:lang w:eastAsia="zh-CN"/>
        </w:rPr>
      </w:pPr>
      <w:r>
        <w:rPr>
          <w:rFonts w:hint="eastAsia" w:ascii="宋体" w:hAnsi="宋体" w:eastAsia="宋体" w:cs="宋体"/>
          <w:color w:val="000000"/>
        </w:rPr>
        <w:t xml:space="preserve">项目名称：</w:t>
      </w:r>
      <w:r>
        <w:rPr>
          <w:rFonts w:hint="eastAsia" w:ascii="宋体" w:hAnsi="宋体" w:eastAsia="宋体" w:cs="宋体"/>
          <w:color w:val="000000"/>
          <w:lang w:val="en-US" w:eastAsia="zh-CN"/>
        </w:rPr>
        <w:t xml:space="preserve"> </w:t>
      </w:r>
      <w:r/>
    </w:p>
    <w:p>
      <w:pPr>
        <w:pStyle w:val="682"/>
        <w:jc w:val="both"/>
        <w:spacing w:beforeAutospacing="0" w:afterAutospacing="0" w:line="500" w:lineRule="exact"/>
        <w:rPr>
          <w:rFonts w:hint="eastAsia" w:ascii="宋体" w:hAnsi="宋体" w:eastAsia="宋体" w:cs="宋体"/>
          <w:color w:val="000000"/>
          <w:lang w:eastAsia="zh-CN"/>
        </w:rPr>
      </w:pPr>
      <w:r>
        <w:rPr>
          <w:rFonts w:hint="eastAsia" w:ascii="宋体" w:hAnsi="宋体" w:eastAsia="宋体" w:cs="宋体"/>
          <w:color w:val="000000"/>
        </w:rPr>
        <w:t xml:space="preserve">项目编号：</w:t>
      </w:r>
      <w:r>
        <w:rPr>
          <w:rFonts w:hint="eastAsia" w:ascii="宋体" w:hAnsi="宋体" w:eastAsia="宋体" w:cs="宋体"/>
          <w:color w:val="000000"/>
          <w:lang w:val="en-US" w:eastAsia="zh-CN"/>
        </w:rPr>
        <w:t xml:space="preserve"> </w:t>
      </w:r>
      <w:r/>
    </w:p>
    <w:p>
      <w:pPr>
        <w:pStyle w:val="682"/>
        <w:jc w:val="both"/>
        <w:spacing w:beforeAutospacing="0" w:afterAutospacing="0" w:line="500" w:lineRule="exact"/>
        <w:rPr>
          <w:rFonts w:hint="default" w:ascii="宋体" w:hAnsi="宋体" w:eastAsia="宋体" w:cs="宋体"/>
          <w:color w:val="000000"/>
          <w:lang w:val="en-US" w:eastAsia="zh-CN"/>
        </w:rPr>
      </w:pPr>
      <w:r>
        <w:rPr>
          <w:rFonts w:hint="eastAsia" w:ascii="宋体" w:hAnsi="宋体" w:eastAsia="宋体" w:cs="宋体"/>
          <w:color w:val="000000"/>
          <w:lang w:val="en-US" w:eastAsia="zh-CN"/>
        </w:rPr>
        <w:t xml:space="preserve">分包号：</w:t>
      </w:r>
      <w:r/>
    </w:p>
    <w:p>
      <w:pPr>
        <w:pStyle w:val="682"/>
        <w:jc w:val="both"/>
        <w:spacing w:beforeAutospacing="0" w:afterAutospacing="0" w:line="500" w:lineRule="exact"/>
        <w:rPr>
          <w:rFonts w:hint="eastAsia" w:ascii="宋体" w:hAnsi="宋体" w:eastAsia="宋体" w:cs="宋体"/>
          <w:color w:val="000000"/>
          <w:lang w:eastAsia="zh-CN"/>
        </w:rPr>
      </w:pPr>
      <w:r>
        <w:rPr>
          <w:rFonts w:hint="eastAsia" w:ascii="宋体" w:hAnsi="宋体" w:eastAsia="宋体" w:cs="宋体"/>
          <w:color w:val="000000"/>
          <w:lang w:eastAsia="zh-CN"/>
        </w:rPr>
      </w:r>
      <w:r/>
    </w:p>
    <w:tbl>
      <w:tblPr>
        <w:tblStyle w:val="68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20"/>
        <w:gridCol w:w="6094"/>
      </w:tblGrid>
      <w:tr>
        <w:trPr>
          <w:trHeight w:val="793"/>
        </w:trPr>
        <w:tc>
          <w:tcPr>
            <w:tcW w:w="2920" w:type="dxa"/>
            <w:textDirection w:val="lrTb"/>
            <w:noWrap w:val="false"/>
          </w:tcPr>
          <w:p>
            <w:pPr>
              <w:spacing w:before="240" w:after="24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sz w:val="24"/>
              </w:rPr>
              <w:t xml:space="preserve">投标货物名称</w:t>
            </w:r>
            <w:r/>
          </w:p>
        </w:tc>
        <w:tc>
          <w:tcPr>
            <w:tcW w:w="6094" w:type="dxa"/>
            <w:textDirection w:val="lrTb"/>
            <w:noWrap w:val="false"/>
          </w:tcPr>
          <w:p>
            <w:pPr>
              <w:spacing w:before="240" w:after="24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sz w:val="24"/>
              </w:rPr>
              <w:t xml:space="preserve">总价（小写）</w:t>
            </w:r>
            <w:r/>
          </w:p>
        </w:tc>
      </w:tr>
      <w:tr>
        <w:trPr/>
        <w:tc>
          <w:tcPr>
            <w:tcW w:w="2920" w:type="dxa"/>
            <w:textDirection w:val="lrTb"/>
            <w:noWrap w:val="false"/>
          </w:tcPr>
          <w:p>
            <w:pPr>
              <w:spacing w:before="240" w:after="24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投标产品名称</w:t>
            </w:r>
            <w:r/>
          </w:p>
        </w:tc>
        <w:tc>
          <w:tcPr>
            <w:tcW w:w="6094" w:type="dxa"/>
            <w:textDirection w:val="lrTb"/>
            <w:noWrap w:val="false"/>
          </w:tcPr>
          <w:p>
            <w:pPr>
              <w:spacing w:before="240" w:after="24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元</w:t>
            </w:r>
            <w:r/>
          </w:p>
        </w:tc>
      </w:tr>
      <w:tr>
        <w:trPr/>
        <w:tc>
          <w:tcPr>
            <w:tcW w:w="2920" w:type="dxa"/>
            <w:textDirection w:val="lrTb"/>
            <w:noWrap w:val="false"/>
          </w:tcPr>
          <w:p>
            <w:pPr>
              <w:spacing w:before="240" w:after="240"/>
              <w:rPr>
                <w:rFonts w:hint="eastAsia" w:ascii="宋体" w:hAnsi="宋体" w:cs="宋体" w:eastAsiaTheme="minorEastAsia"/>
                <w:color w:val="000000"/>
                <w:sz w:val="24"/>
                <w:lang w:eastAsia="zh-CN"/>
              </w:rPr>
              <w:pBdr>
                <w:top w:val="none" w:color="000000" w:sz="0" w:space="0"/>
                <w:left w:val="none" w:color="000000" w:sz="0" w:space="0"/>
                <w:bottom w:val="none" w:color="000000" w:sz="0" w:space="0"/>
                <w:right w:val="none" w:color="000000" w:sz="0" w:space="0"/>
              </w:pBdr>
            </w:pPr>
            <w:r>
              <w:rPr>
                <w:sz w:val="24"/>
              </w:rPr>
              <w:t xml:space="preserve">核心产品品牌</w:t>
            </w:r>
            <w:r>
              <w:rPr>
                <w:rFonts w:hint="eastAsia"/>
                <w:sz w:val="24"/>
                <w:lang w:eastAsia="zh-CN"/>
              </w:rPr>
              <w:t xml:space="preserve">：</w:t>
            </w:r>
            <w:r/>
          </w:p>
        </w:tc>
        <w:tc>
          <w:tcPr>
            <w:tcW w:w="6094" w:type="dxa"/>
            <w:textDirection w:val="lrTb"/>
            <w:noWrap w:val="false"/>
          </w:tcPr>
          <w:p>
            <w:pPr>
              <w:spacing w:before="240" w:after="24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tc>
      </w:tr>
    </w:tbl>
    <w:p>
      <w:pPr>
        <w:pStyle w:val="682"/>
        <w:jc w:val="both"/>
        <w:spacing w:beforeAutospacing="0" w:afterAutospacing="0"/>
      </w:pPr>
      <w:r>
        <w:t xml:space="preserve"> </w:t>
      </w:r>
      <w:r/>
    </w:p>
    <w:p>
      <w:pPr>
        <w:pStyle w:val="682"/>
        <w:ind w:firstLine="480"/>
        <w:jc w:val="both"/>
        <w:spacing w:beforeAutospacing="0" w:afterAutospacing="0"/>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jc w:val="right"/>
        <w:rPr>
          <w:sz w:val="24"/>
        </w:rPr>
      </w:pPr>
      <w:r>
        <w:rPr>
          <w:sz w:val="24"/>
        </w:rPr>
      </w:r>
      <w:r/>
    </w:p>
    <w:p>
      <w:pPr>
        <w:pStyle w:val="682"/>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82"/>
        <w:ind w:firstLine="321"/>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82"/>
        <w:ind w:firstLine="321"/>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82"/>
        <w:ind w:firstLine="321"/>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82"/>
        <w:ind w:firstLine="321"/>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82"/>
        <w:ind w:firstLine="321"/>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82"/>
        <w:ind w:firstLine="321"/>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82"/>
        <w:ind w:firstLine="321"/>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82"/>
        <w:ind w:firstLine="321"/>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82"/>
        <w:ind w:firstLine="321"/>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82"/>
        <w:ind w:firstLine="321"/>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82"/>
        <w:ind w:firstLine="321"/>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82"/>
        <w:ind w:firstLine="321"/>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82"/>
        <w:ind w:firstLine="321"/>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82"/>
        <w:ind w:firstLine="321"/>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82"/>
        <w:ind w:firstLine="321"/>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br w:type="page" w:clear="all"/>
      </w:r>
      <w:r/>
    </w:p>
    <w:p>
      <w:pPr>
        <w:pStyle w:val="682"/>
        <w:ind w:firstLine="321"/>
        <w:jc w:val="center"/>
        <w:spacing w:beforeAutospacing="0" w:afterAutospacing="0" w:line="0" w:lineRule="atLeast"/>
        <w:rPr>
          <w:rFonts w:hint="eastAsia" w:ascii="黑体" w:hAnsi="黑体" w:eastAsia="黑体" w:cs="黑体"/>
          <w:i/>
          <w:sz w:val="32"/>
          <w:szCs w:val="32"/>
          <w:u w:val="single"/>
        </w:rPr>
        <w:outlineLvl w:val="1"/>
      </w:pPr>
      <w:r>
        <w:rPr>
          <w:rFonts w:hint="eastAsia" w:ascii="黑体" w:hAnsi="黑体" w:eastAsia="黑体" w:cs="黑体"/>
          <w:iCs/>
          <w:sz w:val="32"/>
          <w:szCs w:val="32"/>
        </w:rPr>
        <w:t xml:space="preserve">十六、</w:t>
      </w:r>
      <w:bookmarkStart w:id="214" w:name="_Hlk194934168"/>
      <w:r/>
      <w:bookmarkStart w:id="215" w:name="OLE_LINK74"/>
      <w:r>
        <w:rPr>
          <w:rFonts w:hint="eastAsia" w:ascii="黑体" w:hAnsi="黑体" w:eastAsia="黑体" w:cs="黑体"/>
          <w:iCs/>
          <w:sz w:val="32"/>
          <w:szCs w:val="32"/>
        </w:rPr>
        <w:t xml:space="preserve">技术方案、服务承诺、培训承诺等</w:t>
      </w:r>
      <w:bookmarkEnd w:id="214"/>
      <w:r/>
      <w:bookmarkEnd w:id="215"/>
      <w:r/>
      <w:r/>
    </w:p>
    <w:p>
      <w:pPr>
        <w:pStyle w:val="682"/>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82"/>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82"/>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82"/>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82"/>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82"/>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82"/>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82"/>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82"/>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82"/>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82"/>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82"/>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82"/>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82"/>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82"/>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82"/>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82"/>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82"/>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82"/>
        <w:ind w:firstLine="32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82"/>
        <w:ind w:firstLine="32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82"/>
        <w:ind w:firstLine="32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82"/>
        <w:ind w:firstLine="32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82"/>
        <w:ind w:firstLine="32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82"/>
        <w:ind w:firstLine="32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82"/>
        <w:ind w:firstLine="32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82"/>
        <w:ind w:firstLine="32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82"/>
        <w:ind w:firstLine="32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82"/>
        <w:ind w:firstLine="32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82"/>
        <w:ind w:firstLine="32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82"/>
        <w:ind w:firstLine="32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82"/>
        <w:ind w:firstLine="32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82"/>
        <w:ind w:firstLine="32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82"/>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ind w:firstLine="1600"/>
        <w:spacing w:line="499" w:lineRule="atLeast"/>
        <w:rPr>
          <w:rFonts w:hint="eastAsia" w:ascii="宋体" w:hAnsi="宋体" w:eastAsia="宋体" w:cs="宋体"/>
          <w:b/>
          <w:bCs/>
          <w:sz w:val="24"/>
        </w:rPr>
        <w:outlineLvl w:val="1"/>
      </w:pPr>
      <w:r/>
      <w:bookmarkStart w:id="216" w:name="_Hlk194934185"/>
      <w:r>
        <w:rPr>
          <w:rFonts w:hint="eastAsia" w:ascii="宋体" w:hAnsi="宋体" w:eastAsia="宋体" w:cs="宋体"/>
          <w:b/>
          <w:bCs/>
          <w:color w:val="000000"/>
          <w:sz w:val="32"/>
          <w:szCs w:val="32"/>
        </w:rPr>
        <w:t xml:space="preserve">十七、</w:t>
      </w:r>
      <w:bookmarkStart w:id="217" w:name="OLE_LINK75"/>
      <w:r>
        <w:rPr>
          <w:rFonts w:hint="eastAsia" w:ascii="宋体" w:hAnsi="宋体" w:eastAsia="宋体" w:cs="宋体"/>
          <w:b/>
          <w:bCs/>
          <w:color w:val="000000"/>
          <w:sz w:val="32"/>
          <w:szCs w:val="32"/>
        </w:rPr>
        <w:t xml:space="preserve">盐城市政府采购事前信用承诺书</w:t>
      </w:r>
      <w:r/>
    </w:p>
    <w:p>
      <w:pPr>
        <w:ind w:firstLine="480"/>
        <w:jc w:val="left"/>
        <w:spacing w:line="499" w:lineRule="atLeast"/>
        <w:rPr>
          <w:rFonts w:hint="eastAsia"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rPr>
          <w:rFonts w:hint="eastAsia" w:ascii="宋体" w:hAnsi="宋体" w:eastAsia="宋体" w:cs="宋体"/>
          <w:sz w:val="24"/>
        </w:rPr>
      </w:pPr>
      <w:r>
        <w:rPr>
          <w:rFonts w:hint="eastAsia"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rPr>
          <w:rFonts w:hint="eastAsia" w:ascii="宋体" w:hAnsi="宋体" w:eastAsia="宋体" w:cs="宋体"/>
          <w:sz w:val="24"/>
        </w:rPr>
      </w:pPr>
      <w:r>
        <w:rPr>
          <w:rFonts w:hint="eastAsia" w:ascii="宋体" w:hAnsi="宋体" w:eastAsia="宋体" w:cs="宋体"/>
          <w:color w:val="000000"/>
          <w:sz w:val="24"/>
        </w:rPr>
        <w:t xml:space="preserve">（三）严格依照国家和省、市关于政府采购的法律、法规、规章、规范性文件，参加政府采购投标活动；积极履行社会责任，促进廉政建设； </w:t>
      </w:r>
      <w:r/>
    </w:p>
    <w:p>
      <w:pPr>
        <w:jc w:val="left"/>
        <w:spacing w:line="499" w:lineRule="atLeast"/>
        <w:rPr>
          <w:rFonts w:hint="eastAsia" w:ascii="宋体" w:hAnsi="宋体" w:eastAsia="宋体" w:cs="宋体"/>
          <w:sz w:val="24"/>
        </w:rPr>
      </w:pPr>
      <w:r>
        <w:rPr>
          <w:rFonts w:hint="eastAsia" w:ascii="宋体" w:hAnsi="宋体" w:eastAsia="宋体" w:cs="宋体"/>
          <w:color w:val="000000"/>
          <w:sz w:val="24"/>
        </w:rPr>
        <w:t xml:space="preserve">（四）严格遵守即时信息公示规定，及时维护和更新盐城市政府采购网中与本单位相关的信息；</w:t>
      </w:r>
      <w:r/>
    </w:p>
    <w:p>
      <w:pPr>
        <w:jc w:val="left"/>
        <w:spacing w:line="499" w:lineRule="atLeast"/>
        <w:rPr>
          <w:rFonts w:hint="eastAsia" w:ascii="宋体" w:hAnsi="宋体" w:eastAsia="宋体" w:cs="宋体"/>
          <w:sz w:val="24"/>
        </w:rPr>
      </w:pPr>
      <w:r>
        <w:rPr>
          <w:rFonts w:hint="eastAsia" w:ascii="宋体" w:hAnsi="宋体" w:eastAsia="宋体" w:cs="宋体"/>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rPr>
          <w:rFonts w:hint="eastAsia" w:ascii="宋体" w:hAnsi="宋体" w:eastAsia="宋体" w:cs="宋体"/>
          <w:sz w:val="24"/>
        </w:rPr>
      </w:pPr>
      <w:r>
        <w:rPr>
          <w:rFonts w:hint="eastAsia" w:ascii="宋体" w:hAnsi="宋体" w:eastAsia="宋体" w:cs="宋体"/>
          <w:color w:val="000000"/>
          <w:sz w:val="24"/>
        </w:rPr>
        <w:t xml:space="preserve">（六）自觉接受政府、行业组织、社会公众、新闻舆论的监督；</w:t>
      </w:r>
      <w:r/>
    </w:p>
    <w:p>
      <w:pPr>
        <w:ind w:firstLine="480"/>
        <w:jc w:val="left"/>
        <w:spacing w:line="499" w:lineRule="atLeast"/>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rPr>
          <w:rFonts w:hint="eastAsia" w:ascii="宋体" w:hAnsi="宋体" w:eastAsia="宋体" w:cs="宋体"/>
          <w:sz w:val="24"/>
        </w:rPr>
      </w:pPr>
      <w:r>
        <w:rPr>
          <w:rFonts w:hint="eastAsia" w:ascii="宋体" w:hAnsi="宋体" w:eastAsia="宋体" w:cs="宋体"/>
          <w:color w:val="000000"/>
          <w:sz w:val="24"/>
        </w:rPr>
        <w:t xml:space="preserve">（八）本人已认真阅读了上述承诺，并向本单位员工作了宣传教育。</w:t>
      </w:r>
      <w:r/>
    </w:p>
    <w:p>
      <w:pPr>
        <w:jc w:val="left"/>
        <w:spacing w:line="499" w:lineRule="atLeast"/>
        <w:rPr>
          <w:rFonts w:hint="eastAsia"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rPr>
          <w:rFonts w:hint="eastAsia"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rPr>
          <w:rFonts w:hint="eastAsia" w:ascii="宋体" w:hAnsi="宋体" w:eastAsia="宋体" w:cs="宋体"/>
          <w:sz w:val="24"/>
        </w:rPr>
      </w:pPr>
      <w:r>
        <w:rPr>
          <w:rFonts w:hint="eastAsia" w:ascii="宋体" w:hAnsi="宋体" w:eastAsia="宋体" w:cs="宋体"/>
          <w:color w:val="000000"/>
          <w:sz w:val="24"/>
        </w:rPr>
        <w:t xml:space="preserve">           年 </w:t>
      </w:r>
      <w:r>
        <w:rPr>
          <w:rFonts w:ascii="宋体" w:hAnsi="宋体" w:eastAsia="宋体" w:cs="宋体"/>
          <w:color w:val="000000"/>
          <w:sz w:val="24"/>
        </w:rPr>
        <w:t xml:space="preserve"> </w:t>
      </w:r>
      <w:r>
        <w:rPr>
          <w:rFonts w:hint="eastAsia" w:ascii="宋体" w:hAnsi="宋体" w:eastAsia="宋体" w:cs="宋体"/>
          <w:color w:val="000000"/>
          <w:sz w:val="24"/>
        </w:rPr>
        <w:t xml:space="preserve">月 </w:t>
      </w:r>
      <w:r>
        <w:rPr>
          <w:rFonts w:ascii="宋体" w:hAnsi="宋体" w:eastAsia="宋体" w:cs="宋体"/>
          <w:color w:val="000000"/>
          <w:sz w:val="24"/>
        </w:rPr>
        <w:t xml:space="preserve"> </w:t>
      </w:r>
      <w:r>
        <w:rPr>
          <w:rFonts w:hint="eastAsia" w:ascii="宋体" w:hAnsi="宋体" w:eastAsia="宋体" w:cs="宋体"/>
          <w:color w:val="000000"/>
          <w:sz w:val="24"/>
        </w:rPr>
        <w:t xml:space="preserve">日</w:t>
      </w:r>
      <w:bookmarkEnd w:id="189"/>
      <w:r/>
      <w:bookmarkEnd w:id="190"/>
      <w:r/>
      <w:bookmarkEnd w:id="191"/>
      <w:r/>
      <w:bookmarkEnd w:id="200"/>
      <w:r/>
      <w:bookmarkEnd w:id="209"/>
      <w:r/>
      <w:bookmarkEnd w:id="210"/>
      <w:r/>
      <w:bookmarkEnd w:id="211"/>
      <w:r/>
      <w:bookmarkEnd w:id="212"/>
      <w:r/>
      <w:bookmarkEnd w:id="213"/>
      <w:r/>
      <w:bookmarkEnd w:id="216"/>
      <w:r/>
      <w:bookmarkEnd w:id="217"/>
      <w:r/>
      <w:r/>
    </w:p>
    <w:p>
      <w:pPr>
        <w:pStyle w:val="682"/>
        <w:jc w:val="center"/>
        <w:spacing w:beforeAutospacing="0" w:afterAutospacing="0"/>
      </w:pPr>
      <w:r/>
      <w:r/>
    </w:p>
    <w:p>
      <w:pPr>
        <w:pStyle w:val="682"/>
        <w:jc w:val="center"/>
        <w:spacing w:beforeAutospacing="0" w:afterAutospacing="0"/>
      </w:pPr>
      <w:r/>
      <w:r/>
    </w:p>
    <w:p>
      <w:pPr>
        <w:pStyle w:val="682"/>
        <w:jc w:val="center"/>
        <w:spacing w:beforeAutospacing="0" w:afterAutospacing="0"/>
      </w:pPr>
      <w:r/>
      <w:r/>
    </w:p>
    <w:p>
      <w:pPr>
        <w:pStyle w:val="682"/>
        <w:jc w:val="center"/>
        <w:spacing w:beforeAutospacing="0" w:afterAutospacing="0"/>
      </w:pPr>
      <w:r/>
      <w:r/>
    </w:p>
    <w:p>
      <w:pPr>
        <w:pStyle w:val="682"/>
        <w:jc w:val="center"/>
        <w:spacing w:beforeAutospacing="0" w:afterAutospacing="0"/>
      </w:pPr>
      <w:r/>
      <w:r/>
    </w:p>
    <w:p>
      <w:pPr>
        <w:pStyle w:val="682"/>
        <w:jc w:val="center"/>
        <w:spacing w:beforeAutospacing="0" w:afterAutospacing="0"/>
      </w:pPr>
      <w:r/>
      <w:r/>
    </w:p>
    <w:p>
      <w:pPr>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clear="all"/>
      </w:r>
      <w:r/>
    </w:p>
    <w:p>
      <w:pPr>
        <w:pStyle w:val="682"/>
        <w:ind w:firstLine="32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color w:val="000000"/>
          <w:sz w:val="32"/>
          <w:szCs w:val="32"/>
        </w:rPr>
        <w:t xml:space="preserve">质疑函范本</w:t>
      </w:r>
      <w:r/>
    </w:p>
    <w:p>
      <w:pPr>
        <w:pStyle w:val="682"/>
        <w:jc w:val="both"/>
        <w:spacing w:before="290" w:beforeAutospacing="0" w:afterAutospacing="0" w:line="360" w:lineRule="auto"/>
        <w:rPr>
          <w:rFonts w:hint="eastAsia" w:ascii="宋体" w:hAnsi="宋体" w:eastAsia="宋体" w:cs="宋体"/>
        </w:rPr>
      </w:pPr>
      <w:r>
        <w:rPr>
          <w:rFonts w:hint="eastAsia" w:ascii="宋体" w:hAnsi="宋体" w:eastAsia="宋体" w:cs="宋体"/>
          <w:color w:val="000000"/>
        </w:rPr>
        <w:t xml:space="preserve">一、质疑供应商基本信息</w:t>
      </w:r>
      <w:r/>
    </w:p>
    <w:p>
      <w:pPr>
        <w:pStyle w:val="68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82"/>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p>
    <w:p>
      <w:pPr>
        <w:pStyle w:val="68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p>
    <w:p>
      <w:pPr>
        <w:pStyle w:val="682"/>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p>
    <w:p>
      <w:pPr>
        <w:pStyle w:val="682"/>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联系话：</w:t>
      </w:r>
      <w:r>
        <w:rPr>
          <w:rFonts w:hint="eastAsia" w:ascii="宋体" w:hAnsi="宋体" w:eastAsia="宋体" w:cs="宋体"/>
          <w:color w:val="000000"/>
          <w:u w:val="single"/>
        </w:rPr>
        <w:t xml:space="preserve">                                           </w:t>
      </w:r>
      <w:r/>
    </w:p>
    <w:p>
      <w:pPr>
        <w:pStyle w:val="68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p>
    <w:p>
      <w:pPr>
        <w:pStyle w:val="68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82"/>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p>
    <w:p>
      <w:pPr>
        <w:pStyle w:val="68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68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二、质疑项目基本情况</w:t>
      </w:r>
      <w:r/>
    </w:p>
    <w:p>
      <w:pPr>
        <w:pStyle w:val="68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682"/>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68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8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68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68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三、质疑事项具体内容</w:t>
      </w:r>
      <w:r/>
    </w:p>
    <w:p>
      <w:pPr>
        <w:pStyle w:val="682"/>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682"/>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68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68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质疑事项2</w:t>
      </w:r>
      <w:r/>
    </w:p>
    <w:p>
      <w:pPr>
        <w:pStyle w:val="68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p>
      <w:pPr>
        <w:pStyle w:val="68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四、与质疑事项相关的质疑请求</w:t>
      </w:r>
      <w:r/>
    </w:p>
    <w:p>
      <w:pPr>
        <w:pStyle w:val="68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682"/>
        <w:jc w:val="both"/>
        <w:spacing w:beforeAutospacing="0" w:afterAutospacing="0"/>
        <w:rPr>
          <w:rFonts w:hint="eastAsia" w:ascii="宋体" w:hAnsi="宋体" w:eastAsia="宋体" w:cs="宋体"/>
        </w:rPr>
      </w:pPr>
      <w:r>
        <w:rPr>
          <w:rFonts w:hint="eastAsia" w:ascii="宋体" w:hAnsi="宋体" w:eastAsia="宋体" w:cs="宋体"/>
          <w:color w:val="000000"/>
        </w:rPr>
        <w:t xml:space="preserve">签字(签章)：                 公章：               日期：    </w:t>
      </w:r>
      <w:r/>
    </w:p>
    <w:p>
      <w:pPr>
        <w:pStyle w:val="682"/>
        <w:ind w:firstLine="241"/>
        <w:jc w:val="both"/>
        <w:spacing w:beforeAutospacing="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682"/>
        <w:ind w:firstLine="241"/>
        <w:jc w:val="both"/>
        <w:spacing w:beforeAutospacing="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682"/>
        <w:ind w:firstLine="241"/>
        <w:jc w:val="both"/>
        <w:spacing w:beforeAutospacing="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682"/>
        <w:ind w:firstLine="241"/>
        <w:jc w:val="both"/>
        <w:spacing w:beforeAutospacing="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682"/>
        <w:ind w:firstLine="241"/>
        <w:jc w:val="both"/>
        <w:spacing w:beforeAutospacing="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682"/>
        <w:ind w:firstLine="241"/>
        <w:jc w:val="both"/>
        <w:spacing w:beforeAutospacing="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682"/>
        <w:ind w:firstLine="241"/>
        <w:jc w:val="both"/>
        <w:spacing w:beforeAutospacing="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682"/>
        <w:ind w:firstLine="241"/>
        <w:jc w:val="both"/>
        <w:spacing w:beforeAutospacing="0" w:afterAutospacing="0" w:line="0" w:lineRule="atLeast"/>
        <w:rPr>
          <w:rFonts w:hint="eastAsia" w:ascii="宋体" w:hAnsi="宋体" w:eastAsia="宋体" w:cs="宋体"/>
        </w:rPr>
      </w:pPr>
      <w:r>
        <w:rPr>
          <w:rFonts w:hint="eastAsia" w:ascii="宋体" w:hAnsi="宋体" w:eastAsia="宋体" w:cs="宋体"/>
          <w:b/>
          <w:color w:val="000000"/>
        </w:rPr>
        <w:t xml:space="preserve">质疑函制作说明：</w:t>
      </w:r>
      <w:r/>
    </w:p>
    <w:p>
      <w:pPr>
        <w:pStyle w:val="682"/>
        <w:ind w:firstLine="48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682"/>
        <w:ind w:firstLine="48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82"/>
        <w:ind w:firstLine="48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682"/>
        <w:ind w:firstLine="48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682"/>
        <w:ind w:firstLine="48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5.质疑函的质疑请求应与质疑事项相关。</w:t>
      </w:r>
      <w:r/>
    </w:p>
    <w:p>
      <w:pPr>
        <w:pStyle w:val="682"/>
        <w:ind w:firstLine="48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682"/>
        <w:ind w:firstLine="480"/>
        <w:spacing w:beforeAutospacing="0" w:afterAutospacing="0" w:line="500" w:lineRule="exact"/>
      </w:pPr>
      <w:r/>
      <w:r/>
    </w:p>
    <w:p>
      <w:pPr>
        <w:pStyle w:val="682"/>
        <w:spacing w:beforeAutospacing="0" w:afterAutospacing="0"/>
      </w:pPr>
      <w:r/>
      <w:r/>
    </w:p>
    <w:sectPr>
      <w:footnotePr/>
      <w:endnotePr/>
      <w:type w:val="nextPage"/>
      <w:pgSz w:w="11906" w:h="16838" w:orient="portrait"/>
      <w:pgMar w:top="1247" w:right="1417" w:bottom="124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egoe UI">
    <w:panose1 w:val="020B0502040204020203"/>
  </w:font>
  <w:font w:name="Symbol">
    <w:panose1 w:val="05050102010706020507"/>
  </w:font>
  <w:font w:name="等线">
    <w:panose1 w:val="02010600030101010101"/>
  </w:font>
  <w:font w:name="楷体_GB2312">
    <w:panose1 w:val="02010609060101010101"/>
  </w:font>
  <w:font w:name="Formata">
    <w:panose1 w:val="020B0503020202020204"/>
  </w:font>
  <w:font w:name="华文楷体">
    <w:panose1 w:val="02010600040101010101"/>
  </w:font>
  <w:font w:name="Wingdings">
    <w:panose1 w:val="05000000000000000000"/>
  </w:font>
  <w:font w:name="_x000B__x000C_">
    <w:panose1 w:val="020B0503020202020204"/>
  </w:font>
  <w:font w:name="Courier New">
    <w:panose1 w:val="02070309020205020404"/>
  </w:font>
  <w:font w:name="微软雅黑">
    <w:panose1 w:val="020B0503020204020204"/>
  </w:font>
  <w:font w:name="Calibri">
    <w:panose1 w:val="020F05020202040302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70"/>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70"/>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lvlOverride w:ilvl="0">
      <w:startOverride w:val="2"/>
    </w:lvlOverride>
  </w:num>
  <w:num w:numId="5">
    <w:abstractNumId w:val="4"/>
    <w:lvlOverride w:ilvl="0">
      <w:startOverride w:val="6"/>
    </w:lvlOverride>
  </w:num>
  <w:num w:numId="6">
    <w:abstractNumId w:val="6"/>
    <w:lvlOverride w:ilvl="0">
      <w:startOverride w:val="16"/>
    </w:lvlOverride>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47" w:default="1">
    <w:name w:val="Normal"/>
    <w:uiPriority w:val="0"/>
    <w:qFormat/>
    <w:pPr>
      <w:ind w:firstLine="482"/>
      <w:jc w:val="both"/>
    </w:pPr>
    <w:rPr>
      <w:rFonts w:asciiTheme="minorHAnsi" w:hAnsiTheme="minorHAnsi" w:eastAsiaTheme="minorEastAsia" w:cstheme="minorBidi"/>
      <w:sz w:val="21"/>
      <w:szCs w:val="24"/>
      <w:lang w:val="en-US" w:eastAsia="zh-CN" w:bidi="ar-SA"/>
    </w:rPr>
  </w:style>
  <w:style w:type="paragraph" w:styleId="648">
    <w:name w:val="Heading 1"/>
    <w:basedOn w:val="647"/>
    <w:next w:val="647"/>
    <w:link w:val="861"/>
    <w:uiPriority w:val="0"/>
    <w:qFormat/>
    <w:pPr>
      <w:keepLines/>
      <w:keepNext/>
      <w:spacing w:before="340" w:after="330" w:line="578" w:lineRule="auto"/>
      <w:outlineLvl w:val="0"/>
    </w:pPr>
    <w:rPr>
      <w:b/>
      <w:bCs/>
      <w:sz w:val="44"/>
      <w:szCs w:val="44"/>
    </w:rPr>
  </w:style>
  <w:style w:type="paragraph" w:styleId="649">
    <w:name w:val="Heading 2"/>
    <w:basedOn w:val="647"/>
    <w:next w:val="647"/>
    <w:uiPriority w:val="0"/>
    <w:unhideWhenUsed/>
    <w:qFormat/>
    <w:pPr>
      <w:jc w:val="left"/>
      <w:spacing w:before="100" w:beforeAutospacing="1"/>
      <w:outlineLvl w:val="1"/>
    </w:pPr>
    <w:rPr>
      <w:rFonts w:ascii="黑体" w:hAnsi="黑体" w:eastAsia="黑体" w:cs="Times New Roman"/>
      <w:bCs/>
      <w:i/>
      <w:sz w:val="32"/>
      <w:szCs w:val="32"/>
      <w:u w:val="single"/>
    </w:rPr>
  </w:style>
  <w:style w:type="paragraph" w:styleId="650">
    <w:name w:val="Heading 3"/>
    <w:basedOn w:val="647"/>
    <w:next w:val="647"/>
    <w:link w:val="731"/>
    <w:uiPriority w:val="9"/>
    <w:unhideWhenUsed/>
    <w:qFormat/>
    <w:pPr>
      <w:keepLines/>
      <w:keepNext/>
      <w:spacing w:before="320" w:after="200"/>
      <w:outlineLvl w:val="2"/>
    </w:pPr>
    <w:rPr>
      <w:rFonts w:ascii="Arial" w:hAnsi="Arial" w:eastAsia="Arial" w:cs="Arial"/>
      <w:sz w:val="30"/>
      <w:szCs w:val="30"/>
    </w:rPr>
  </w:style>
  <w:style w:type="paragraph" w:styleId="651">
    <w:name w:val="Heading 4"/>
    <w:basedOn w:val="647"/>
    <w:next w:val="647"/>
    <w:link w:val="732"/>
    <w:uiPriority w:val="9"/>
    <w:unhideWhenUsed/>
    <w:qFormat/>
    <w:pPr>
      <w:keepLines/>
      <w:keepNext/>
      <w:spacing w:before="320" w:after="200"/>
      <w:outlineLvl w:val="3"/>
    </w:pPr>
    <w:rPr>
      <w:rFonts w:ascii="Arial" w:hAnsi="Arial" w:eastAsia="Arial" w:cs="Arial"/>
      <w:b/>
      <w:bCs/>
      <w:sz w:val="26"/>
      <w:szCs w:val="26"/>
    </w:rPr>
  </w:style>
  <w:style w:type="paragraph" w:styleId="652">
    <w:name w:val="Heading 5"/>
    <w:basedOn w:val="647"/>
    <w:next w:val="647"/>
    <w:link w:val="733"/>
    <w:uiPriority w:val="9"/>
    <w:unhideWhenUsed/>
    <w:qFormat/>
    <w:pPr>
      <w:keepLines/>
      <w:keepNext/>
      <w:spacing w:before="320" w:after="200"/>
      <w:outlineLvl w:val="4"/>
    </w:pPr>
    <w:rPr>
      <w:rFonts w:ascii="Arial" w:hAnsi="Arial" w:eastAsia="Arial" w:cs="Arial"/>
      <w:b/>
      <w:bCs/>
      <w:sz w:val="24"/>
    </w:rPr>
  </w:style>
  <w:style w:type="paragraph" w:styleId="653">
    <w:name w:val="Heading 6"/>
    <w:basedOn w:val="647"/>
    <w:next w:val="647"/>
    <w:link w:val="734"/>
    <w:uiPriority w:val="9"/>
    <w:unhideWhenUsed/>
    <w:qFormat/>
    <w:pPr>
      <w:keepLines/>
      <w:keepNext/>
      <w:spacing w:before="320" w:after="200"/>
      <w:outlineLvl w:val="5"/>
    </w:pPr>
    <w:rPr>
      <w:rFonts w:ascii="Arial" w:hAnsi="Arial" w:eastAsia="Arial" w:cs="Arial"/>
      <w:b/>
      <w:bCs/>
      <w:sz w:val="22"/>
      <w:szCs w:val="22"/>
    </w:rPr>
  </w:style>
  <w:style w:type="paragraph" w:styleId="654">
    <w:name w:val="Heading 7"/>
    <w:basedOn w:val="647"/>
    <w:next w:val="647"/>
    <w:link w:val="735"/>
    <w:uiPriority w:val="9"/>
    <w:unhideWhenUsed/>
    <w:qFormat/>
    <w:pPr>
      <w:keepLines/>
      <w:keepNext/>
      <w:spacing w:before="320" w:after="200"/>
      <w:outlineLvl w:val="6"/>
    </w:pPr>
    <w:rPr>
      <w:rFonts w:ascii="Arial" w:hAnsi="Arial" w:eastAsia="Arial" w:cs="Arial"/>
      <w:b/>
      <w:bCs/>
      <w:i/>
      <w:iCs/>
      <w:sz w:val="22"/>
      <w:szCs w:val="22"/>
    </w:rPr>
  </w:style>
  <w:style w:type="paragraph" w:styleId="655">
    <w:name w:val="Heading 8"/>
    <w:basedOn w:val="647"/>
    <w:next w:val="647"/>
    <w:link w:val="736"/>
    <w:uiPriority w:val="9"/>
    <w:unhideWhenUsed/>
    <w:qFormat/>
    <w:pPr>
      <w:keepLines/>
      <w:keepNext/>
      <w:spacing w:before="320" w:after="200"/>
      <w:outlineLvl w:val="7"/>
    </w:pPr>
    <w:rPr>
      <w:rFonts w:ascii="Arial" w:hAnsi="Arial" w:eastAsia="Arial" w:cs="Arial"/>
      <w:i/>
      <w:iCs/>
      <w:sz w:val="22"/>
      <w:szCs w:val="22"/>
    </w:rPr>
  </w:style>
  <w:style w:type="paragraph" w:styleId="656">
    <w:name w:val="Heading 9"/>
    <w:basedOn w:val="647"/>
    <w:next w:val="647"/>
    <w:link w:val="737"/>
    <w:uiPriority w:val="9"/>
    <w:unhideWhenUsed/>
    <w:qFormat/>
    <w:pPr>
      <w:keepLines/>
      <w:keepNext/>
      <w:spacing w:before="320" w:after="200"/>
      <w:outlineLvl w:val="8"/>
    </w:pPr>
    <w:rPr>
      <w:rFonts w:ascii="Arial" w:hAnsi="Arial" w:eastAsia="Arial" w:cs="Arial"/>
      <w:i/>
      <w:iCs/>
      <w:szCs w:val="21"/>
    </w:rPr>
  </w:style>
  <w:style w:type="character" w:styleId="657" w:default="1">
    <w:name w:val="Default Paragraph Font"/>
    <w:uiPriority w:val="1"/>
    <w:semiHidden/>
    <w:unhideWhenUsed/>
    <w:qFormat/>
  </w:style>
  <w:style w:type="table" w:styleId="658" w:default="1">
    <w:name w:val="Normal Table"/>
    <w:uiPriority w:val="99"/>
    <w:semiHidden/>
    <w:unhideWhenUsed/>
    <w:qFormat/>
    <w:tblPr>
      <w:tblCellMar>
        <w:left w:w="108" w:type="dxa"/>
        <w:top w:w="0" w:type="dxa"/>
        <w:right w:w="108" w:type="dxa"/>
        <w:bottom w:w="0" w:type="dxa"/>
      </w:tblCellMar>
    </w:tblPr>
  </w:style>
  <w:style w:type="paragraph" w:styleId="659">
    <w:name w:val="toc 7"/>
    <w:basedOn w:val="647"/>
    <w:next w:val="647"/>
    <w:uiPriority w:val="39"/>
    <w:unhideWhenUsed/>
    <w:qFormat/>
    <w:pPr>
      <w:ind w:left="1701" w:firstLine="0"/>
      <w:spacing w:after="57"/>
    </w:pPr>
  </w:style>
  <w:style w:type="paragraph" w:styleId="660">
    <w:name w:val="Caption"/>
    <w:basedOn w:val="647"/>
    <w:next w:val="64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61">
    <w:name w:val="annotation text"/>
    <w:basedOn w:val="647"/>
    <w:link w:val="884"/>
    <w:uiPriority w:val="0"/>
    <w:qFormat/>
    <w:pPr>
      <w:jc w:val="left"/>
    </w:pPr>
  </w:style>
  <w:style w:type="paragraph" w:styleId="662">
    <w:name w:val="Body Text"/>
    <w:basedOn w:val="647"/>
    <w:uiPriority w:val="0"/>
    <w:unhideWhenUsed/>
    <w:qFormat/>
    <w:pPr>
      <w:spacing w:after="120"/>
    </w:pPr>
    <w:rPr>
      <w:rFonts w:ascii="Calibri" w:hAnsi="Calibri"/>
      <w:szCs w:val="22"/>
    </w:rPr>
  </w:style>
  <w:style w:type="paragraph" w:styleId="663">
    <w:name w:val="Body Text Indent"/>
    <w:basedOn w:val="647"/>
    <w:uiPriority w:val="0"/>
    <w:qFormat/>
    <w:pPr>
      <w:ind w:left="420"/>
      <w:spacing w:after="120"/>
    </w:pPr>
  </w:style>
  <w:style w:type="paragraph" w:styleId="664">
    <w:name w:val="toc 5"/>
    <w:basedOn w:val="647"/>
    <w:next w:val="647"/>
    <w:uiPriority w:val="39"/>
    <w:unhideWhenUsed/>
    <w:qFormat/>
    <w:pPr>
      <w:ind w:left="1134" w:firstLine="0"/>
      <w:spacing w:after="57"/>
    </w:pPr>
  </w:style>
  <w:style w:type="paragraph" w:styleId="665">
    <w:name w:val="toc 3"/>
    <w:basedOn w:val="647"/>
    <w:next w:val="647"/>
    <w:uiPriority w:val="39"/>
    <w:unhideWhenUsed/>
    <w:qFormat/>
    <w:pPr>
      <w:ind w:left="567" w:firstLine="0"/>
      <w:spacing w:after="57"/>
    </w:pPr>
  </w:style>
  <w:style w:type="paragraph" w:styleId="666">
    <w:name w:val="Plain Text"/>
    <w:basedOn w:val="647"/>
    <w:uiPriority w:val="0"/>
    <w:unhideWhenUsed/>
    <w:qFormat/>
    <w:rPr>
      <w:rFonts w:ascii="宋体" w:hAnsi="Courier New" w:cs="Courier New"/>
      <w:szCs w:val="21"/>
    </w:rPr>
  </w:style>
  <w:style w:type="paragraph" w:styleId="667">
    <w:name w:val="toc 8"/>
    <w:basedOn w:val="647"/>
    <w:next w:val="647"/>
    <w:uiPriority w:val="39"/>
    <w:unhideWhenUsed/>
    <w:qFormat/>
    <w:pPr>
      <w:ind w:left="1984" w:firstLine="0"/>
      <w:spacing w:after="57"/>
    </w:pPr>
  </w:style>
  <w:style w:type="paragraph" w:styleId="668">
    <w:name w:val="endnote text"/>
    <w:basedOn w:val="647"/>
    <w:link w:val="855"/>
    <w:uiPriority w:val="99"/>
    <w:semiHidden/>
    <w:unhideWhenUsed/>
    <w:qFormat/>
    <w:rPr>
      <w:sz w:val="20"/>
    </w:rPr>
  </w:style>
  <w:style w:type="paragraph" w:styleId="669">
    <w:name w:val="Balloon Text"/>
    <w:basedOn w:val="647"/>
    <w:link w:val="866"/>
    <w:uiPriority w:val="0"/>
    <w:semiHidden/>
    <w:unhideWhenUsed/>
    <w:qFormat/>
    <w:rPr>
      <w:sz w:val="18"/>
      <w:szCs w:val="18"/>
    </w:rPr>
  </w:style>
  <w:style w:type="paragraph" w:styleId="670">
    <w:name w:val="Footer"/>
    <w:basedOn w:val="647"/>
    <w:link w:val="858"/>
    <w:uiPriority w:val="0"/>
    <w:qFormat/>
    <w:pPr>
      <w:jc w:val="left"/>
      <w:tabs>
        <w:tab w:val="center" w:pos="4153" w:leader="none"/>
        <w:tab w:val="right" w:pos="8306" w:leader="none"/>
      </w:tabs>
    </w:pPr>
    <w:rPr>
      <w:sz w:val="18"/>
      <w:szCs w:val="18"/>
    </w:rPr>
  </w:style>
  <w:style w:type="paragraph" w:styleId="671">
    <w:name w:val="envelope return"/>
    <w:basedOn w:val="647"/>
    <w:uiPriority w:val="0"/>
    <w:unhideWhenUsed/>
    <w:qFormat/>
    <w:rPr>
      <w:rFonts w:ascii="Arial" w:hAnsi="Arial"/>
    </w:rPr>
  </w:style>
  <w:style w:type="paragraph" w:styleId="672">
    <w:name w:val="Header"/>
    <w:basedOn w:val="647"/>
    <w:link w:val="857"/>
    <w:uiPriority w:val="0"/>
    <w:qFormat/>
    <w:pPr>
      <w:jc w:val="center"/>
      <w:tabs>
        <w:tab w:val="center" w:pos="4153" w:leader="none"/>
        <w:tab w:val="right" w:pos="8306" w:leader="none"/>
      </w:tabs>
      <w:pBdr>
        <w:bottom w:val="single" w:color="auto" w:sz="6" w:space="1"/>
      </w:pBdr>
    </w:pPr>
    <w:rPr>
      <w:sz w:val="18"/>
      <w:szCs w:val="18"/>
    </w:rPr>
  </w:style>
  <w:style w:type="paragraph" w:styleId="673">
    <w:name w:val="toc 1"/>
    <w:basedOn w:val="647"/>
    <w:next w:val="647"/>
    <w:uiPriority w:val="39"/>
    <w:unhideWhenUsed/>
    <w:qFormat/>
    <w:pPr>
      <w:ind w:firstLine="0"/>
      <w:spacing w:after="57"/>
    </w:pPr>
  </w:style>
  <w:style w:type="paragraph" w:styleId="674">
    <w:name w:val="toc 4"/>
    <w:basedOn w:val="647"/>
    <w:next w:val="647"/>
    <w:uiPriority w:val="39"/>
    <w:unhideWhenUsed/>
    <w:qFormat/>
    <w:pPr>
      <w:ind w:left="850" w:firstLine="0"/>
      <w:spacing w:after="57"/>
    </w:pPr>
  </w:style>
  <w:style w:type="paragraph" w:styleId="675">
    <w:name w:val="Subtitle"/>
    <w:basedOn w:val="647"/>
    <w:next w:val="647"/>
    <w:link w:val="740"/>
    <w:uiPriority w:val="11"/>
    <w:qFormat/>
    <w:pPr>
      <w:spacing w:before="200" w:after="200"/>
    </w:pPr>
    <w:rPr>
      <w:sz w:val="24"/>
    </w:rPr>
  </w:style>
  <w:style w:type="paragraph" w:styleId="676">
    <w:name w:val="footnote text"/>
    <w:basedOn w:val="647"/>
    <w:link w:val="854"/>
    <w:uiPriority w:val="99"/>
    <w:semiHidden/>
    <w:unhideWhenUsed/>
    <w:qFormat/>
    <w:pPr>
      <w:spacing w:after="40"/>
    </w:pPr>
    <w:rPr>
      <w:sz w:val="18"/>
    </w:rPr>
  </w:style>
  <w:style w:type="paragraph" w:styleId="677">
    <w:name w:val="toc 6"/>
    <w:basedOn w:val="647"/>
    <w:next w:val="647"/>
    <w:uiPriority w:val="39"/>
    <w:unhideWhenUsed/>
    <w:qFormat/>
    <w:pPr>
      <w:ind w:left="1417" w:firstLine="0"/>
      <w:spacing w:after="57"/>
    </w:pPr>
  </w:style>
  <w:style w:type="paragraph" w:styleId="678">
    <w:name w:val="table of figures"/>
    <w:basedOn w:val="647"/>
    <w:next w:val="647"/>
    <w:uiPriority w:val="99"/>
    <w:unhideWhenUsed/>
    <w:qFormat/>
  </w:style>
  <w:style w:type="paragraph" w:styleId="679">
    <w:name w:val="toc 2"/>
    <w:basedOn w:val="647"/>
    <w:next w:val="647"/>
    <w:uiPriority w:val="39"/>
    <w:unhideWhenUsed/>
    <w:qFormat/>
    <w:pPr>
      <w:ind w:left="283" w:firstLine="0"/>
      <w:spacing w:after="57"/>
    </w:pPr>
  </w:style>
  <w:style w:type="paragraph" w:styleId="680">
    <w:name w:val="toc 9"/>
    <w:basedOn w:val="647"/>
    <w:next w:val="647"/>
    <w:uiPriority w:val="39"/>
    <w:unhideWhenUsed/>
    <w:qFormat/>
    <w:pPr>
      <w:ind w:left="2268" w:firstLine="0"/>
      <w:spacing w:after="57"/>
    </w:pPr>
  </w:style>
  <w:style w:type="paragraph" w:styleId="681">
    <w:name w:val="Body Text 2"/>
    <w:basedOn w:val="647"/>
    <w:uiPriority w:val="0"/>
    <w:qFormat/>
    <w:pPr>
      <w:spacing w:after="120" w:line="480" w:lineRule="auto"/>
    </w:pPr>
  </w:style>
  <w:style w:type="paragraph" w:styleId="682">
    <w:name w:val="Normal (Web)"/>
    <w:basedOn w:val="647"/>
    <w:uiPriority w:val="0"/>
    <w:qFormat/>
    <w:pPr>
      <w:jc w:val="left"/>
      <w:spacing w:beforeAutospacing="1" w:afterAutospacing="1"/>
    </w:pPr>
    <w:rPr>
      <w:rFonts w:cs="Times New Roman"/>
      <w:sz w:val="24"/>
    </w:rPr>
  </w:style>
  <w:style w:type="paragraph" w:styleId="683">
    <w:name w:val="Title"/>
    <w:basedOn w:val="647"/>
    <w:next w:val="647"/>
    <w:link w:val="739"/>
    <w:uiPriority w:val="10"/>
    <w:qFormat/>
    <w:pPr>
      <w:contextualSpacing/>
      <w:spacing w:before="300" w:after="200"/>
    </w:pPr>
    <w:rPr>
      <w:sz w:val="48"/>
      <w:szCs w:val="48"/>
    </w:rPr>
  </w:style>
  <w:style w:type="paragraph" w:styleId="684">
    <w:name w:val="annotation subject"/>
    <w:basedOn w:val="661"/>
    <w:next w:val="661"/>
    <w:link w:val="885"/>
    <w:uiPriority w:val="99"/>
    <w:semiHidden/>
    <w:unhideWhenUsed/>
    <w:qFormat/>
    <w:rPr>
      <w:b/>
      <w:bCs/>
    </w:rPr>
  </w:style>
  <w:style w:type="paragraph" w:styleId="685">
    <w:name w:val="Body Text First Indent"/>
    <w:basedOn w:val="662"/>
    <w:link w:val="879"/>
    <w:uiPriority w:val="0"/>
    <w:qFormat/>
    <w:pPr>
      <w:ind w:firstLine="420"/>
    </w:pPr>
    <w:rPr>
      <w:rFonts w:asciiTheme="minorHAnsi" w:hAnsiTheme="minorHAnsi"/>
      <w:szCs w:val="24"/>
    </w:rPr>
  </w:style>
  <w:style w:type="paragraph" w:styleId="686">
    <w:name w:val="Body Text First Indent 2"/>
    <w:basedOn w:val="663"/>
    <w:uiPriority w:val="0"/>
    <w:unhideWhenUsed/>
    <w:qFormat/>
    <w:pPr>
      <w:ind w:firstLine="420"/>
    </w:pPr>
  </w:style>
  <w:style w:type="table" w:styleId="687">
    <w:name w:val="Table Grid"/>
    <w:basedOn w:val="65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8">
    <w:name w:val="Strong"/>
    <w:basedOn w:val="657"/>
    <w:uiPriority w:val="22"/>
    <w:qFormat/>
    <w:rPr>
      <w:b/>
    </w:rPr>
  </w:style>
  <w:style w:type="character" w:styleId="689">
    <w:name w:val="endnote reference"/>
    <w:basedOn w:val="657"/>
    <w:uiPriority w:val="99"/>
    <w:semiHidden/>
    <w:unhideWhenUsed/>
    <w:qFormat/>
    <w:rPr>
      <w:vertAlign w:val="superscript"/>
    </w:rPr>
  </w:style>
  <w:style w:type="character" w:styleId="690">
    <w:name w:val="Hyperlink"/>
    <w:uiPriority w:val="99"/>
    <w:unhideWhenUsed/>
    <w:qFormat/>
    <w:rPr>
      <w:color w:val="0563c1" w:themeColor="hyperlink"/>
      <w:u w:val="single"/>
      <w14:textFill>
        <w14:solidFill>
          <w14:schemeClr w14:val="hlink"/>
        </w14:solidFill>
      </w14:textFill>
    </w:rPr>
  </w:style>
  <w:style w:type="character" w:styleId="691">
    <w:name w:val="annotation reference"/>
    <w:basedOn w:val="657"/>
    <w:uiPriority w:val="99"/>
    <w:semiHidden/>
    <w:unhideWhenUsed/>
    <w:qFormat/>
    <w:rPr>
      <w:sz w:val="21"/>
      <w:szCs w:val="21"/>
    </w:rPr>
  </w:style>
  <w:style w:type="character" w:styleId="692">
    <w:name w:val="footnote reference"/>
    <w:basedOn w:val="657"/>
    <w:uiPriority w:val="99"/>
    <w:unhideWhenUsed/>
    <w:qFormat/>
    <w:rPr>
      <w:vertAlign w:val="superscript"/>
    </w:rPr>
  </w:style>
  <w:style w:type="table" w:styleId="693" w:customStyle="1">
    <w:name w:val="无格式表格 11"/>
    <w:basedOn w:val="65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4" w:customStyle="1">
    <w:name w:val="无格式表格 21"/>
    <w:basedOn w:val="65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5" w:customStyle="1">
    <w:name w:val="无格式表格 31"/>
    <w:basedOn w:val="65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6" w:customStyle="1">
    <w:name w:val="无格式表格 41"/>
    <w:basedOn w:val="65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7" w:customStyle="1">
    <w:name w:val="无格式表格 51"/>
    <w:basedOn w:val="65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8" w:customStyle="1">
    <w:name w:val="网格表 1 浅色1"/>
    <w:basedOn w:val="65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9" w:customStyle="1">
    <w:name w:val="网格表 21"/>
    <w:basedOn w:val="65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0" w:customStyle="1">
    <w:name w:val="网格表 31"/>
    <w:basedOn w:val="65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1" w:customStyle="1">
    <w:name w:val="网格表 41"/>
    <w:basedOn w:val="65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2" w:customStyle="1">
    <w:name w:val="网格表 5 深色1"/>
    <w:basedOn w:val="6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3" w:customStyle="1">
    <w:name w:val="网格表 6 彩色1"/>
    <w:basedOn w:val="65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04" w:customStyle="1">
    <w:name w:val="网格表 7 彩色1"/>
    <w:basedOn w:val="65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05" w:customStyle="1">
    <w:name w:val="清单表 1 浅色1"/>
    <w:basedOn w:val="65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6" w:customStyle="1">
    <w:name w:val="清单表 21"/>
    <w:basedOn w:val="65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07" w:customStyle="1">
    <w:name w:val="清单表 31"/>
    <w:basedOn w:val="65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8" w:customStyle="1">
    <w:name w:val="清单表 41"/>
    <w:basedOn w:val="65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9" w:customStyle="1">
    <w:name w:val="清单表 5 深色1"/>
    <w:basedOn w:val="65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10" w:customStyle="1">
    <w:name w:val="清单表 6 彩色1"/>
    <w:basedOn w:val="65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11" w:customStyle="1">
    <w:name w:val="清单表 7 彩色1"/>
    <w:basedOn w:val="65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12" w:customStyle="1">
    <w:name w:val="TOC 标题1"/>
    <w:uiPriority w:val="39"/>
    <w:unhideWhenUsed/>
    <w:qFormat/>
    <w:rPr>
      <w:rFonts w:ascii="Times New Roman" w:hAnsi="Times New Roman" w:eastAsia="宋体" w:cs="Times New Roman"/>
      <w:lang w:val="en-US" w:eastAsia="zh-CN" w:bidi="ar-SA"/>
    </w:rPr>
  </w:style>
  <w:style w:type="character" w:styleId="713" w:customStyle="1">
    <w:name w:val="Heading 3 Char"/>
    <w:basedOn w:val="657"/>
    <w:uiPriority w:val="9"/>
    <w:qFormat/>
    <w:rPr>
      <w:rFonts w:ascii="Arial" w:hAnsi="Arial" w:eastAsia="Arial" w:cs="Arial"/>
      <w:sz w:val="30"/>
      <w:szCs w:val="30"/>
    </w:rPr>
  </w:style>
  <w:style w:type="character" w:styleId="714" w:customStyle="1">
    <w:name w:val="Heading 4 Char"/>
    <w:basedOn w:val="657"/>
    <w:uiPriority w:val="9"/>
    <w:qFormat/>
    <w:rPr>
      <w:rFonts w:ascii="Arial" w:hAnsi="Arial" w:eastAsia="Arial" w:cs="Arial"/>
      <w:b/>
      <w:bCs/>
      <w:sz w:val="26"/>
      <w:szCs w:val="26"/>
    </w:rPr>
  </w:style>
  <w:style w:type="character" w:styleId="715" w:customStyle="1">
    <w:name w:val="Heading 5 Char"/>
    <w:basedOn w:val="657"/>
    <w:uiPriority w:val="9"/>
    <w:qFormat/>
    <w:rPr>
      <w:rFonts w:ascii="Arial" w:hAnsi="Arial" w:eastAsia="Arial" w:cs="Arial"/>
      <w:b/>
      <w:bCs/>
      <w:sz w:val="24"/>
      <w:szCs w:val="24"/>
    </w:rPr>
  </w:style>
  <w:style w:type="character" w:styleId="716" w:customStyle="1">
    <w:name w:val="Heading 6 Char"/>
    <w:basedOn w:val="657"/>
    <w:uiPriority w:val="9"/>
    <w:qFormat/>
    <w:rPr>
      <w:rFonts w:ascii="Arial" w:hAnsi="Arial" w:eastAsia="Arial" w:cs="Arial"/>
      <w:b/>
      <w:bCs/>
      <w:sz w:val="22"/>
      <w:szCs w:val="22"/>
    </w:rPr>
  </w:style>
  <w:style w:type="character" w:styleId="717" w:customStyle="1">
    <w:name w:val="Heading 7 Char"/>
    <w:basedOn w:val="657"/>
    <w:uiPriority w:val="9"/>
    <w:qFormat/>
    <w:rPr>
      <w:rFonts w:ascii="Arial" w:hAnsi="Arial" w:eastAsia="Arial" w:cs="Arial"/>
      <w:b/>
      <w:bCs/>
      <w:i/>
      <w:iCs/>
      <w:sz w:val="22"/>
      <w:szCs w:val="22"/>
    </w:rPr>
  </w:style>
  <w:style w:type="character" w:styleId="718" w:customStyle="1">
    <w:name w:val="Heading 8 Char"/>
    <w:basedOn w:val="657"/>
    <w:uiPriority w:val="9"/>
    <w:qFormat/>
    <w:rPr>
      <w:rFonts w:ascii="Arial" w:hAnsi="Arial" w:eastAsia="Arial" w:cs="Arial"/>
      <w:i/>
      <w:iCs/>
      <w:sz w:val="22"/>
      <w:szCs w:val="22"/>
    </w:rPr>
  </w:style>
  <w:style w:type="character" w:styleId="719" w:customStyle="1">
    <w:name w:val="Heading 9 Char"/>
    <w:basedOn w:val="657"/>
    <w:uiPriority w:val="9"/>
    <w:qFormat/>
    <w:rPr>
      <w:rFonts w:ascii="Arial" w:hAnsi="Arial" w:eastAsia="Arial" w:cs="Arial"/>
      <w:i/>
      <w:iCs/>
      <w:sz w:val="21"/>
      <w:szCs w:val="21"/>
    </w:rPr>
  </w:style>
  <w:style w:type="character" w:styleId="720" w:customStyle="1">
    <w:name w:val="Title Char"/>
    <w:basedOn w:val="657"/>
    <w:uiPriority w:val="10"/>
    <w:qFormat/>
    <w:rPr>
      <w:sz w:val="48"/>
      <w:szCs w:val="48"/>
    </w:rPr>
  </w:style>
  <w:style w:type="character" w:styleId="721" w:customStyle="1">
    <w:name w:val="Subtitle Char"/>
    <w:basedOn w:val="657"/>
    <w:uiPriority w:val="11"/>
    <w:qFormat/>
    <w:rPr>
      <w:sz w:val="24"/>
      <w:szCs w:val="24"/>
    </w:rPr>
  </w:style>
  <w:style w:type="character" w:styleId="722" w:customStyle="1">
    <w:name w:val="Quote Char"/>
    <w:uiPriority w:val="29"/>
    <w:qFormat/>
    <w:rPr>
      <w:i/>
    </w:rPr>
  </w:style>
  <w:style w:type="character" w:styleId="723" w:customStyle="1">
    <w:name w:val="Intense Quote Char"/>
    <w:uiPriority w:val="30"/>
    <w:qFormat/>
    <w:rPr>
      <w:i/>
    </w:rPr>
  </w:style>
  <w:style w:type="character" w:styleId="724" w:customStyle="1">
    <w:name w:val="Footnote Text Char"/>
    <w:uiPriority w:val="99"/>
    <w:qFormat/>
    <w:rPr>
      <w:sz w:val="18"/>
    </w:rPr>
  </w:style>
  <w:style w:type="character" w:styleId="725" w:customStyle="1">
    <w:name w:val="Endnote Text Char"/>
    <w:uiPriority w:val="99"/>
    <w:qFormat/>
    <w:rPr>
      <w:sz w:val="20"/>
    </w:rPr>
  </w:style>
  <w:style w:type="paragraph" w:styleId="726" w:customStyle="1">
    <w:name w:val="TOC 标题111"/>
    <w:uiPriority w:val="39"/>
    <w:unhideWhenUsed/>
    <w:qFormat/>
    <w:rPr>
      <w:rFonts w:ascii="Times New Roman" w:hAnsi="Times New Roman" w:eastAsia="宋体" w:cs="Times New Roman"/>
      <w:lang w:val="en-US" w:eastAsia="zh-CN" w:bidi="ar-SA"/>
    </w:rPr>
  </w:style>
  <w:style w:type="paragraph" w:styleId="727" w:customStyle="1">
    <w:name w:val="正文缩进1"/>
    <w:basedOn w:val="647"/>
    <w:uiPriority w:val="0"/>
    <w:qFormat/>
    <w:pPr>
      <w:ind w:firstLine="420"/>
    </w:pPr>
  </w:style>
  <w:style w:type="paragraph" w:styleId="728" w:customStyle="1">
    <w:name w:val="文档结构图11"/>
    <w:basedOn w:val="647"/>
    <w:uiPriority w:val="0"/>
    <w:qFormat/>
    <w:pPr>
      <w:shd w:val="clear" w:color="auto" w:fill="000080"/>
    </w:pPr>
    <w:rPr>
      <w:rFonts w:ascii="Times New Roman" w:hAnsi="Times New Roman" w:eastAsia="宋体" w:cs="Times New Roman"/>
      <w:szCs w:val="21"/>
    </w:rPr>
  </w:style>
  <w:style w:type="character" w:styleId="729" w:customStyle="1">
    <w:name w:val="Heading 1 Char"/>
    <w:basedOn w:val="657"/>
    <w:uiPriority w:val="9"/>
    <w:qFormat/>
    <w:rPr>
      <w:rFonts w:ascii="Arial" w:hAnsi="Arial" w:eastAsia="Arial" w:cs="Arial"/>
      <w:sz w:val="40"/>
      <w:szCs w:val="40"/>
    </w:rPr>
  </w:style>
  <w:style w:type="character" w:styleId="730" w:customStyle="1">
    <w:name w:val="Heading 2 Char"/>
    <w:basedOn w:val="657"/>
    <w:uiPriority w:val="9"/>
    <w:qFormat/>
    <w:rPr>
      <w:rFonts w:ascii="Arial" w:hAnsi="Arial" w:eastAsia="Arial" w:cs="Arial"/>
      <w:sz w:val="34"/>
    </w:rPr>
  </w:style>
  <w:style w:type="character" w:styleId="731" w:customStyle="1">
    <w:name w:val="标题 3 字符"/>
    <w:basedOn w:val="657"/>
    <w:link w:val="650"/>
    <w:uiPriority w:val="9"/>
    <w:qFormat/>
    <w:rPr>
      <w:rFonts w:ascii="Arial" w:hAnsi="Arial" w:eastAsia="Arial" w:cs="Arial"/>
      <w:sz w:val="30"/>
      <w:szCs w:val="30"/>
    </w:rPr>
  </w:style>
  <w:style w:type="character" w:styleId="732" w:customStyle="1">
    <w:name w:val="标题 4 字符"/>
    <w:basedOn w:val="657"/>
    <w:link w:val="651"/>
    <w:uiPriority w:val="9"/>
    <w:qFormat/>
    <w:rPr>
      <w:rFonts w:ascii="Arial" w:hAnsi="Arial" w:eastAsia="Arial" w:cs="Arial"/>
      <w:b/>
      <w:bCs/>
      <w:sz w:val="26"/>
      <w:szCs w:val="26"/>
    </w:rPr>
  </w:style>
  <w:style w:type="character" w:styleId="733" w:customStyle="1">
    <w:name w:val="标题 5 字符"/>
    <w:basedOn w:val="657"/>
    <w:link w:val="652"/>
    <w:uiPriority w:val="9"/>
    <w:qFormat/>
    <w:rPr>
      <w:rFonts w:ascii="Arial" w:hAnsi="Arial" w:eastAsia="Arial" w:cs="Arial"/>
      <w:b/>
      <w:bCs/>
      <w:sz w:val="24"/>
      <w:szCs w:val="24"/>
    </w:rPr>
  </w:style>
  <w:style w:type="character" w:styleId="734" w:customStyle="1">
    <w:name w:val="标题 6 字符"/>
    <w:basedOn w:val="657"/>
    <w:link w:val="653"/>
    <w:uiPriority w:val="9"/>
    <w:qFormat/>
    <w:rPr>
      <w:rFonts w:ascii="Arial" w:hAnsi="Arial" w:eastAsia="Arial" w:cs="Arial"/>
      <w:b/>
      <w:bCs/>
      <w:sz w:val="22"/>
      <w:szCs w:val="22"/>
    </w:rPr>
  </w:style>
  <w:style w:type="character" w:styleId="735" w:customStyle="1">
    <w:name w:val="标题 7 字符"/>
    <w:basedOn w:val="657"/>
    <w:link w:val="654"/>
    <w:uiPriority w:val="9"/>
    <w:qFormat/>
    <w:rPr>
      <w:rFonts w:ascii="Arial" w:hAnsi="Arial" w:eastAsia="Arial" w:cs="Arial"/>
      <w:b/>
      <w:bCs/>
      <w:i/>
      <w:iCs/>
      <w:sz w:val="22"/>
      <w:szCs w:val="22"/>
    </w:rPr>
  </w:style>
  <w:style w:type="character" w:styleId="736" w:customStyle="1">
    <w:name w:val="标题 8 字符"/>
    <w:basedOn w:val="657"/>
    <w:link w:val="655"/>
    <w:uiPriority w:val="9"/>
    <w:qFormat/>
    <w:rPr>
      <w:rFonts w:ascii="Arial" w:hAnsi="Arial" w:eastAsia="Arial" w:cs="Arial"/>
      <w:i/>
      <w:iCs/>
      <w:sz w:val="22"/>
      <w:szCs w:val="22"/>
    </w:rPr>
  </w:style>
  <w:style w:type="character" w:styleId="737" w:customStyle="1">
    <w:name w:val="标题 9 字符"/>
    <w:basedOn w:val="657"/>
    <w:link w:val="656"/>
    <w:uiPriority w:val="9"/>
    <w:qFormat/>
    <w:rPr>
      <w:rFonts w:ascii="Arial" w:hAnsi="Arial" w:eastAsia="Arial" w:cs="Arial"/>
      <w:i/>
      <w:iCs/>
      <w:sz w:val="21"/>
      <w:szCs w:val="21"/>
    </w:rPr>
  </w:style>
  <w:style w:type="paragraph" w:styleId="738">
    <w:name w:val="No Spacing"/>
    <w:uiPriority w:val="1"/>
    <w:qFormat/>
    <w:rPr>
      <w:rFonts w:ascii="Times New Roman" w:hAnsi="Times New Roman" w:eastAsia="宋体" w:cs="Times New Roman"/>
      <w:lang w:val="en-US" w:eastAsia="zh-CN" w:bidi="ar-SA"/>
    </w:rPr>
  </w:style>
  <w:style w:type="character" w:styleId="739" w:customStyle="1">
    <w:name w:val="标题 字符"/>
    <w:basedOn w:val="657"/>
    <w:link w:val="683"/>
    <w:uiPriority w:val="10"/>
    <w:qFormat/>
    <w:rPr>
      <w:sz w:val="48"/>
      <w:szCs w:val="48"/>
    </w:rPr>
  </w:style>
  <w:style w:type="character" w:styleId="740" w:customStyle="1">
    <w:name w:val="副标题 字符"/>
    <w:basedOn w:val="657"/>
    <w:link w:val="675"/>
    <w:uiPriority w:val="11"/>
    <w:qFormat/>
    <w:rPr>
      <w:sz w:val="24"/>
      <w:szCs w:val="24"/>
    </w:rPr>
  </w:style>
  <w:style w:type="paragraph" w:styleId="741">
    <w:name w:val="Quote"/>
    <w:basedOn w:val="647"/>
    <w:next w:val="647"/>
    <w:link w:val="742"/>
    <w:uiPriority w:val="29"/>
    <w:qFormat/>
    <w:pPr>
      <w:ind w:left="720" w:right="720"/>
    </w:pPr>
    <w:rPr>
      <w:i/>
    </w:rPr>
  </w:style>
  <w:style w:type="character" w:styleId="742" w:customStyle="1">
    <w:name w:val="引用 字符"/>
    <w:link w:val="741"/>
    <w:uiPriority w:val="29"/>
    <w:qFormat/>
    <w:rPr>
      <w:i/>
    </w:rPr>
  </w:style>
  <w:style w:type="paragraph" w:styleId="743">
    <w:name w:val="Intense Quote"/>
    <w:basedOn w:val="647"/>
    <w:next w:val="647"/>
    <w:link w:val="7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customStyle="1">
    <w:name w:val="明显引用 字符"/>
    <w:link w:val="743"/>
    <w:uiPriority w:val="30"/>
    <w:qFormat/>
    <w:rPr>
      <w:i/>
    </w:rPr>
  </w:style>
  <w:style w:type="character" w:styleId="745" w:customStyle="1">
    <w:name w:val="Header Char"/>
    <w:basedOn w:val="657"/>
    <w:uiPriority w:val="99"/>
    <w:qFormat/>
  </w:style>
  <w:style w:type="character" w:styleId="746" w:customStyle="1">
    <w:name w:val="Footer Char"/>
    <w:basedOn w:val="657"/>
    <w:uiPriority w:val="99"/>
    <w:qFormat/>
  </w:style>
  <w:style w:type="character" w:styleId="747" w:customStyle="1">
    <w:name w:val="Caption Char"/>
    <w:uiPriority w:val="99"/>
    <w:qFormat/>
  </w:style>
  <w:style w:type="table" w:styleId="748" w:customStyle="1">
    <w:name w:val="Table Grid Light"/>
    <w:basedOn w:val="65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49" w:customStyle="1">
    <w:name w:val="Grid Table 1 Light - Accent 1"/>
    <w:basedOn w:val="65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2"/>
    <w:basedOn w:val="65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3"/>
    <w:basedOn w:val="65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4"/>
    <w:basedOn w:val="65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5"/>
    <w:basedOn w:val="65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6"/>
    <w:basedOn w:val="65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5" w:customStyle="1">
    <w:name w:val="Grid Table 2 - Accent 1"/>
    <w:basedOn w:val="65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6" w:customStyle="1">
    <w:name w:val="Grid Table 2 - Accent 2"/>
    <w:basedOn w:val="65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7" w:customStyle="1">
    <w:name w:val="Grid Table 2 - Accent 3"/>
    <w:basedOn w:val="65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8" w:customStyle="1">
    <w:name w:val="Grid Table 2 - Accent 4"/>
    <w:basedOn w:val="65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59" w:customStyle="1">
    <w:name w:val="Grid Table 2 - Accent 5"/>
    <w:basedOn w:val="65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0" w:customStyle="1">
    <w:name w:val="Grid Table 2 - Accent 6"/>
    <w:basedOn w:val="65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1" w:customStyle="1">
    <w:name w:val="Grid Table 3 - Accent 1"/>
    <w:basedOn w:val="65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2"/>
    <w:basedOn w:val="65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3"/>
    <w:basedOn w:val="65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4"/>
    <w:basedOn w:val="65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5"/>
    <w:basedOn w:val="65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6"/>
    <w:basedOn w:val="65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4 - Accent 1"/>
    <w:basedOn w:val="65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68" w:customStyle="1">
    <w:name w:val="Grid Table 4 - Accent 2"/>
    <w:basedOn w:val="65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69" w:customStyle="1">
    <w:name w:val="Grid Table 4 - Accent 3"/>
    <w:basedOn w:val="65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0" w:customStyle="1">
    <w:name w:val="Grid Table 4 - Accent 4"/>
    <w:basedOn w:val="65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1" w:customStyle="1">
    <w:name w:val="Grid Table 4 - Accent 5"/>
    <w:basedOn w:val="65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2" w:customStyle="1">
    <w:name w:val="Grid Table 4 - Accent 6"/>
    <w:basedOn w:val="65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3" w:customStyle="1">
    <w:name w:val="Grid Table 5 Dark- Accent 1"/>
    <w:basedOn w:val="6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4" w:customStyle="1">
    <w:name w:val="Grid Table 5 Dark - Accent 2"/>
    <w:basedOn w:val="6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5" w:customStyle="1">
    <w:name w:val="Grid Table 5 Dark - Accent 3"/>
    <w:basedOn w:val="6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6" w:customStyle="1">
    <w:name w:val="Grid Table 5 Dark- Accent 4"/>
    <w:basedOn w:val="6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7" w:customStyle="1">
    <w:name w:val="Grid Table 5 Dark - Accent 5"/>
    <w:basedOn w:val="6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78" w:customStyle="1">
    <w:name w:val="Grid Table 5 Dark - Accent 6"/>
    <w:basedOn w:val="6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79" w:customStyle="1">
    <w:name w:val="Grid Table 6 Colorful - Accent 1"/>
    <w:basedOn w:val="65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0" w:customStyle="1">
    <w:name w:val="Grid Table 6 Colorful - Accent 2"/>
    <w:basedOn w:val="65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1" w:customStyle="1">
    <w:name w:val="Grid Table 6 Colorful - Accent 3"/>
    <w:basedOn w:val="65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82" w:customStyle="1">
    <w:name w:val="Grid Table 6 Colorful - Accent 4"/>
    <w:basedOn w:val="65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3" w:customStyle="1">
    <w:name w:val="Grid Table 6 Colorful - Accent 5"/>
    <w:basedOn w:val="65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4" w:customStyle="1">
    <w:name w:val="Grid Table 6 Colorful - Accent 6"/>
    <w:basedOn w:val="65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5" w:customStyle="1">
    <w:name w:val="Grid Table 7 Colorful - Accent 1"/>
    <w:basedOn w:val="65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86" w:customStyle="1">
    <w:name w:val="Grid Table 7 Colorful - Accent 2"/>
    <w:basedOn w:val="65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87" w:customStyle="1">
    <w:name w:val="Grid Table 7 Colorful - Accent 3"/>
    <w:basedOn w:val="65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88" w:customStyle="1">
    <w:name w:val="Grid Table 7 Colorful - Accent 4"/>
    <w:basedOn w:val="65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89" w:customStyle="1">
    <w:name w:val="Grid Table 7 Colorful - Accent 5"/>
    <w:basedOn w:val="65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0" w:customStyle="1">
    <w:name w:val="Grid Table 7 Colorful - Accent 6"/>
    <w:basedOn w:val="65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1" w:customStyle="1">
    <w:name w:val="List Table 1 Light - Accent 1"/>
    <w:basedOn w:val="65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2" w:customStyle="1">
    <w:name w:val="List Table 1 Light - Accent 2"/>
    <w:basedOn w:val="65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3" w:customStyle="1">
    <w:name w:val="List Table 1 Light - Accent 3"/>
    <w:basedOn w:val="65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4" w:customStyle="1">
    <w:name w:val="List Table 1 Light - Accent 4"/>
    <w:basedOn w:val="65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5" w:customStyle="1">
    <w:name w:val="List Table 1 Light - Accent 5"/>
    <w:basedOn w:val="65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96" w:customStyle="1">
    <w:name w:val="List Table 1 Light - Accent 6"/>
    <w:basedOn w:val="65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97" w:customStyle="1">
    <w:name w:val="List Table 2 - Accent 1"/>
    <w:basedOn w:val="65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98" w:customStyle="1">
    <w:name w:val="List Table 2 - Accent 2"/>
    <w:basedOn w:val="65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99" w:customStyle="1">
    <w:name w:val="List Table 2 - Accent 3"/>
    <w:basedOn w:val="65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0" w:customStyle="1">
    <w:name w:val="List Table 2 - Accent 4"/>
    <w:basedOn w:val="65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1" w:customStyle="1">
    <w:name w:val="List Table 2 - Accent 5"/>
    <w:basedOn w:val="65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2" w:customStyle="1">
    <w:name w:val="List Table 2 - Accent 6"/>
    <w:basedOn w:val="65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3" w:customStyle="1">
    <w:name w:val="List Table 3 - Accent 1"/>
    <w:basedOn w:val="65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4" w:customStyle="1">
    <w:name w:val="List Table 3 - Accent 2"/>
    <w:basedOn w:val="65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05" w:customStyle="1">
    <w:name w:val="List Table 3 - Accent 3"/>
    <w:basedOn w:val="65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06" w:customStyle="1">
    <w:name w:val="List Table 3 - Accent 4"/>
    <w:basedOn w:val="65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07" w:customStyle="1">
    <w:name w:val="List Table 3 - Accent 5"/>
    <w:basedOn w:val="65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08" w:customStyle="1">
    <w:name w:val="List Table 3 - Accent 6"/>
    <w:basedOn w:val="65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09" w:customStyle="1">
    <w:name w:val="List Table 4 - Accent 1"/>
    <w:basedOn w:val="65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0" w:customStyle="1">
    <w:name w:val="List Table 4 - Accent 2"/>
    <w:basedOn w:val="65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1" w:customStyle="1">
    <w:name w:val="List Table 4 - Accent 3"/>
    <w:basedOn w:val="65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2" w:customStyle="1">
    <w:name w:val="List Table 4 - Accent 4"/>
    <w:basedOn w:val="65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3" w:customStyle="1">
    <w:name w:val="List Table 4 - Accent 5"/>
    <w:basedOn w:val="65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14" w:customStyle="1">
    <w:name w:val="List Table 4 - Accent 6"/>
    <w:basedOn w:val="65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15" w:customStyle="1">
    <w:name w:val="List Table 5 Dark - Accent 1"/>
    <w:basedOn w:val="65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2"/>
    <w:basedOn w:val="65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3"/>
    <w:basedOn w:val="65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4"/>
    <w:basedOn w:val="65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5"/>
    <w:basedOn w:val="65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6"/>
    <w:basedOn w:val="65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6 Colorful - Accent 1"/>
    <w:basedOn w:val="65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22" w:customStyle="1">
    <w:name w:val="List Table 6 Colorful - Accent 2"/>
    <w:basedOn w:val="65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23" w:customStyle="1">
    <w:name w:val="List Table 6 Colorful - Accent 3"/>
    <w:basedOn w:val="65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24" w:customStyle="1">
    <w:name w:val="List Table 6 Colorful - Accent 4"/>
    <w:basedOn w:val="65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25" w:customStyle="1">
    <w:name w:val="List Table 6 Colorful - Accent 5"/>
    <w:basedOn w:val="65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26" w:customStyle="1">
    <w:name w:val="List Table 6 Colorful - Accent 6"/>
    <w:basedOn w:val="65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27" w:customStyle="1">
    <w:name w:val="List Table 7 Colorful - Accent 1"/>
    <w:basedOn w:val="65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28" w:customStyle="1">
    <w:name w:val="List Table 7 Colorful - Accent 2"/>
    <w:basedOn w:val="65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9" w:customStyle="1">
    <w:name w:val="List Table 7 Colorful - Accent 3"/>
    <w:basedOn w:val="65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0" w:customStyle="1">
    <w:name w:val="List Table 7 Colorful - Accent 4"/>
    <w:basedOn w:val="65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1" w:customStyle="1">
    <w:name w:val="List Table 7 Colorful - Accent 5"/>
    <w:basedOn w:val="65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32" w:customStyle="1">
    <w:name w:val="List Table 7 Colorful - Accent 6"/>
    <w:basedOn w:val="65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33" w:customStyle="1">
    <w:name w:val="Lined - Accent"/>
    <w:basedOn w:val="6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4" w:customStyle="1">
    <w:name w:val="Lined - Accent 1"/>
    <w:basedOn w:val="6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5" w:customStyle="1">
    <w:name w:val="Lined - Accent 2"/>
    <w:basedOn w:val="6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6" w:customStyle="1">
    <w:name w:val="Lined - Accent 3"/>
    <w:basedOn w:val="6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7" w:customStyle="1">
    <w:name w:val="Lined - Accent 4"/>
    <w:basedOn w:val="6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8" w:customStyle="1">
    <w:name w:val="Lined - Accent 5"/>
    <w:basedOn w:val="6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9" w:customStyle="1">
    <w:name w:val="Lined - Accent 6"/>
    <w:basedOn w:val="6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0" w:customStyle="1">
    <w:name w:val="Bordered &amp; Lined - Accent"/>
    <w:basedOn w:val="65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1" w:customStyle="1">
    <w:name w:val="Bordered &amp; Lined - Accent 1"/>
    <w:basedOn w:val="65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2" w:customStyle="1">
    <w:name w:val="Bordered &amp; Lined - Accent 2"/>
    <w:basedOn w:val="65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3" w:customStyle="1">
    <w:name w:val="Bordered &amp; Lined - Accent 3"/>
    <w:basedOn w:val="65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4" w:customStyle="1">
    <w:name w:val="Bordered &amp; Lined - Accent 4"/>
    <w:basedOn w:val="65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5" w:customStyle="1">
    <w:name w:val="Bordered &amp; Lined - Accent 5"/>
    <w:basedOn w:val="65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6" w:customStyle="1">
    <w:name w:val="Bordered &amp; Lined - Accent 6"/>
    <w:basedOn w:val="65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7" w:customStyle="1">
    <w:name w:val="Bordered"/>
    <w:basedOn w:val="65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8" w:customStyle="1">
    <w:name w:val="Bordered - Accent 1"/>
    <w:basedOn w:val="65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49" w:customStyle="1">
    <w:name w:val="Bordered - Accent 2"/>
    <w:basedOn w:val="65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50" w:customStyle="1">
    <w:name w:val="Bordered - Accent 3"/>
    <w:basedOn w:val="65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1" w:customStyle="1">
    <w:name w:val="Bordered - Accent 4"/>
    <w:basedOn w:val="65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52" w:customStyle="1">
    <w:name w:val="Bordered - Accent 5"/>
    <w:basedOn w:val="65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53" w:customStyle="1">
    <w:name w:val="Bordered - Accent 6"/>
    <w:basedOn w:val="65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54" w:customStyle="1">
    <w:name w:val="脚注文本 字符"/>
    <w:link w:val="676"/>
    <w:uiPriority w:val="99"/>
    <w:qFormat/>
    <w:rPr>
      <w:sz w:val="18"/>
    </w:rPr>
  </w:style>
  <w:style w:type="character" w:styleId="855" w:customStyle="1">
    <w:name w:val="尾注文本 字符"/>
    <w:link w:val="668"/>
    <w:uiPriority w:val="99"/>
    <w:qFormat/>
    <w:rPr>
      <w:sz w:val="20"/>
    </w:rPr>
  </w:style>
  <w:style w:type="paragraph" w:styleId="856" w:customStyle="1">
    <w:name w:val="TOC 标题11"/>
    <w:uiPriority w:val="39"/>
    <w:unhideWhenUsed/>
    <w:qFormat/>
    <w:rPr>
      <w:rFonts w:ascii="Times New Roman" w:hAnsi="Times New Roman" w:eastAsia="宋体" w:cs="Times New Roman"/>
      <w:lang w:val="en-US" w:eastAsia="zh-CN" w:bidi="ar-SA"/>
    </w:rPr>
  </w:style>
  <w:style w:type="character" w:styleId="857" w:customStyle="1">
    <w:name w:val="页眉 字符"/>
    <w:basedOn w:val="657"/>
    <w:link w:val="672"/>
    <w:uiPriority w:val="0"/>
    <w:qFormat/>
    <w:rPr>
      <w:rFonts w:asciiTheme="minorHAnsi" w:hAnsiTheme="minorHAnsi" w:eastAsiaTheme="minorEastAsia" w:cstheme="minorBidi"/>
      <w:sz w:val="18"/>
      <w:szCs w:val="18"/>
    </w:rPr>
  </w:style>
  <w:style w:type="character" w:styleId="858" w:customStyle="1">
    <w:name w:val="页脚 字符"/>
    <w:basedOn w:val="657"/>
    <w:link w:val="670"/>
    <w:uiPriority w:val="0"/>
    <w:qFormat/>
    <w:rPr>
      <w:rFonts w:asciiTheme="minorHAnsi" w:hAnsiTheme="minorHAnsi" w:eastAsiaTheme="minorEastAsia" w:cstheme="minorBidi"/>
      <w:sz w:val="18"/>
      <w:szCs w:val="18"/>
    </w:rPr>
  </w:style>
  <w:style w:type="paragraph" w:styleId="859" w:customStyle="1">
    <w:name w:val="AONormal"/>
    <w:uiPriority w:val="0"/>
    <w:qFormat/>
    <w:pPr>
      <w:ind w:firstLine="440"/>
      <w:jc w:val="both"/>
      <w:spacing w:line="400" w:lineRule="exact"/>
    </w:pPr>
    <w:rPr>
      <w:rFonts w:ascii="华文楷体" w:hAnsi="华文楷体" w:eastAsia="华文楷体" w:cs="华文楷体"/>
      <w:sz w:val="22"/>
      <w:szCs w:val="21"/>
      <w:lang w:val="en-US" w:eastAsia="zh-CN" w:bidi="ar-SA"/>
    </w:rPr>
  </w:style>
  <w:style w:type="paragraph" w:styleId="860" w:customStyle="1">
    <w:name w:val="页脚1"/>
    <w:basedOn w:val="647"/>
    <w:uiPriority w:val="99"/>
    <w:unhideWhenUsed/>
    <w:qFormat/>
    <w:pPr>
      <w:jc w:val="left"/>
      <w:tabs>
        <w:tab w:val="center" w:pos="4153" w:leader="none"/>
        <w:tab w:val="right" w:pos="8306" w:leader="none"/>
      </w:tabs>
    </w:pPr>
    <w:rPr>
      <w:sz w:val="18"/>
      <w:szCs w:val="18"/>
    </w:rPr>
  </w:style>
  <w:style w:type="character" w:styleId="861" w:customStyle="1">
    <w:name w:val="标题 1 字符"/>
    <w:basedOn w:val="657"/>
    <w:link w:val="648"/>
    <w:uiPriority w:val="0"/>
    <w:qFormat/>
    <w:rPr>
      <w:rFonts w:asciiTheme="minorHAnsi" w:hAnsiTheme="minorHAnsi" w:eastAsiaTheme="minorEastAsia" w:cstheme="minorBidi"/>
      <w:b/>
      <w:bCs/>
      <w:sz w:val="44"/>
      <w:szCs w:val="44"/>
    </w:rPr>
  </w:style>
  <w:style w:type="paragraph" w:styleId="862">
    <w:name w:val="List Paragraph"/>
    <w:basedOn w:val="647"/>
    <w:uiPriority w:val="34"/>
    <w:qFormat/>
    <w:pPr>
      <w:ind w:firstLine="420"/>
    </w:pPr>
  </w:style>
  <w:style w:type="paragraph" w:styleId="863" w:customStyle="1">
    <w:name w:val="Normal_1_1"/>
    <w:uiPriority w:val="0"/>
    <w:qFormat/>
    <w:pPr>
      <w:ind w:firstLine="482"/>
      <w:jc w:val="both"/>
    </w:pPr>
    <w:rPr>
      <w:rFonts w:ascii="Times New Roman" w:hAnsi="Times New Roman" w:eastAsia="Times New Roman" w:cs="Times New Roman"/>
      <w:sz w:val="24"/>
      <w:szCs w:val="24"/>
      <w:lang w:val="en-US" w:eastAsia="zh-CN" w:bidi="ar-SA"/>
    </w:rPr>
  </w:style>
  <w:style w:type="character" w:styleId="864" w:customStyle="1">
    <w:name w:val="NormalCharacter"/>
    <w:uiPriority w:val="0"/>
    <w:semiHidden/>
    <w:qFormat/>
  </w:style>
  <w:style w:type="paragraph" w:styleId="865" w:customStyle="1">
    <w:name w:val="Normal_0_3"/>
    <w:uiPriority w:val="0"/>
    <w:qFormat/>
    <w:pPr>
      <w:ind w:firstLine="482"/>
      <w:jc w:val="both"/>
    </w:pPr>
    <w:rPr>
      <w:rFonts w:ascii="Times New Roman" w:hAnsi="Times New Roman" w:eastAsia="Times New Roman" w:cs="Times New Roman"/>
      <w:sz w:val="24"/>
      <w:szCs w:val="24"/>
      <w:lang w:val="en-US" w:eastAsia="zh-CN" w:bidi="ar-SA"/>
    </w:rPr>
  </w:style>
  <w:style w:type="character" w:styleId="866" w:customStyle="1">
    <w:name w:val="批注框文本 字符"/>
    <w:basedOn w:val="657"/>
    <w:link w:val="669"/>
    <w:uiPriority w:val="0"/>
    <w:semiHidden/>
    <w:qFormat/>
    <w:rPr>
      <w:rFonts w:asciiTheme="minorHAnsi" w:hAnsiTheme="minorHAnsi" w:eastAsiaTheme="minorEastAsia" w:cstheme="minorBidi"/>
      <w:sz w:val="18"/>
      <w:szCs w:val="18"/>
    </w:rPr>
  </w:style>
  <w:style w:type="paragraph" w:styleId="867" w:customStyle="1">
    <w:name w:val="Default"/>
    <w:uiPriority w:val="0"/>
    <w:qFormat/>
    <w:pPr>
      <w:widowControl w:val="off"/>
    </w:pPr>
    <w:rPr>
      <w:rFonts w:ascii="Formata" w:hAnsi="Times New Roman" w:eastAsia="Formata" w:cs="Times New Roman"/>
      <w:color w:val="000000"/>
      <w:sz w:val="24"/>
      <w:szCs w:val="24"/>
      <w:lang w:val="en-US" w:eastAsia="zh-CN" w:bidi="ar-SA"/>
    </w:rPr>
  </w:style>
  <w:style w:type="character" w:styleId="868" w:customStyle="1">
    <w:name w:val="NormalCharacter1"/>
    <w:uiPriority w:val="0"/>
    <w:qFormat/>
    <w:rPr>
      <w:rFonts w:hint="default" w:asciiTheme="minorHAnsi" w:hAnsiTheme="minorHAnsi" w:eastAsiaTheme="minorEastAsia" w:cstheme="minorBidi"/>
      <w:sz w:val="21"/>
      <w:szCs w:val="24"/>
    </w:rPr>
  </w:style>
  <w:style w:type="paragraph" w:styleId="869" w:customStyle="1">
    <w:name w:val="无间隔1"/>
    <w:uiPriority w:val="99"/>
    <w:qFormat/>
    <w:pPr>
      <w:jc w:val="both"/>
      <w:widowControl w:val="off"/>
    </w:pPr>
    <w:rPr>
      <w:rFonts w:ascii="Calibri" w:hAnsi="Calibri" w:eastAsia="宋体" w:cs="Times New Roman"/>
      <w:sz w:val="22"/>
      <w:szCs w:val="22"/>
      <w:lang w:val="en-US" w:eastAsia="zh-CN" w:bidi="ar-SA"/>
    </w:rPr>
  </w:style>
  <w:style w:type="paragraph" w:styleId="870" w:customStyle="1">
    <w:name w:val="列出段落1"/>
    <w:basedOn w:val="647"/>
    <w:uiPriority w:val="99"/>
    <w:qFormat/>
    <w:pPr>
      <w:ind w:firstLine="200"/>
    </w:pPr>
    <w:rPr>
      <w:rFonts w:ascii="Calibri" w:hAnsi="Calibri"/>
      <w:szCs w:val="22"/>
    </w:rPr>
  </w:style>
  <w:style w:type="paragraph" w:styleId="871" w:customStyle="1">
    <w:name w:val="_Style 1"/>
    <w:basedOn w:val="647"/>
    <w:uiPriority w:val="34"/>
    <w:qFormat/>
    <w:pPr>
      <w:ind w:firstLine="420"/>
    </w:pPr>
    <w:rPr>
      <w:rFonts w:ascii="Calibri" w:hAnsi="Calibri" w:eastAsia="宋体" w:cs="Times New Roman"/>
      <w:szCs w:val="22"/>
    </w:rPr>
  </w:style>
  <w:style w:type="character" w:styleId="872" w:customStyle="1">
    <w:name w:val="s141"/>
    <w:basedOn w:val="657"/>
    <w:uiPriority w:val="0"/>
    <w:qFormat/>
    <w:rPr>
      <w:rFonts w:hint="default" w:ascii="_x000B__x000C_" w:hAnsi="_x000B__x000C_" w:eastAsia="_x000B__x000C_" w:cs="_x000B__x000C_"/>
      <w:sz w:val="21"/>
      <w:szCs w:val="21"/>
    </w:rPr>
  </w:style>
  <w:style w:type="paragraph" w:styleId="873" w:customStyle="1">
    <w:name w:val="正文1"/>
    <w:uiPriority w:val="0"/>
    <w:qFormat/>
    <w:pPr>
      <w:spacing w:after="200" w:line="276" w:lineRule="auto"/>
    </w:pPr>
    <w:rPr>
      <w:rFonts w:ascii="Calibri" w:hAnsi="Calibri" w:eastAsia="宋体" w:cs="Times New Roman"/>
      <w:sz w:val="22"/>
      <w:szCs w:val="22"/>
      <w:lang w:val="en-US" w:eastAsia="en-US" w:bidi="ar-SA"/>
    </w:rPr>
  </w:style>
  <w:style w:type="paragraph" w:styleId="874" w:customStyle="1">
    <w:name w:val="正文文本1"/>
    <w:basedOn w:val="647"/>
    <w:uiPriority w:val="0"/>
    <w:qFormat/>
    <w:pPr>
      <w:widowControl w:val="off"/>
    </w:pPr>
    <w:rPr>
      <w:rFonts w:ascii="楷体_GB2312" w:hAnsi="Arial" w:eastAsia="楷体_GB2312" w:cs="Times New Roman"/>
      <w:sz w:val="28"/>
      <w:szCs w:val="28"/>
    </w:rPr>
  </w:style>
  <w:style w:type="paragraph" w:styleId="875" w:customStyle="1">
    <w:name w:val="批注文字1"/>
    <w:basedOn w:val="647"/>
    <w:uiPriority w:val="0"/>
    <w:qFormat/>
    <w:pPr>
      <w:jc w:val="left"/>
      <w:widowControl w:val="off"/>
    </w:pPr>
    <w:rPr>
      <w:rFonts w:ascii="Calibri" w:hAnsi="Calibri" w:eastAsia="宋体" w:cs="Times New Roman"/>
      <w:sz w:val="20"/>
      <w:szCs w:val="20"/>
    </w:rPr>
  </w:style>
  <w:style w:type="paragraph" w:styleId="876" w:customStyle="1">
    <w:name w:val="正文首行缩进 21"/>
    <w:basedOn w:val="877"/>
    <w:uiPriority w:val="0"/>
    <w:qFormat/>
    <w:pPr>
      <w:ind w:firstLine="420"/>
    </w:pPr>
  </w:style>
  <w:style w:type="paragraph" w:styleId="877" w:customStyle="1">
    <w:name w:val="正文文本缩进1"/>
    <w:basedOn w:val="647"/>
    <w:uiPriority w:val="0"/>
    <w:qFormat/>
    <w:pPr>
      <w:ind w:left="420"/>
      <w:spacing w:after="120"/>
    </w:pPr>
  </w:style>
  <w:style w:type="paragraph" w:styleId="878" w:customStyle="1">
    <w:name w:val="普通正文"/>
    <w:basedOn w:val="647"/>
    <w:uiPriority w:val="0"/>
    <w:qFormat/>
    <w:pPr>
      <w:ind w:firstLine="480"/>
      <w:jc w:val="left"/>
      <w:spacing w:before="120" w:after="120" w:line="360" w:lineRule="auto"/>
    </w:pPr>
    <w:rPr>
      <w:rFonts w:ascii="Arial" w:hAnsi="Arial" w:eastAsia="等线" w:cs="Arial"/>
      <w:sz w:val="24"/>
    </w:rPr>
  </w:style>
  <w:style w:type="character" w:styleId="879" w:customStyle="1">
    <w:name w:val="正文文本首行缩进 字符"/>
    <w:basedOn w:val="657"/>
    <w:link w:val="685"/>
    <w:uiPriority w:val="0"/>
    <w:qFormat/>
    <w:rPr>
      <w:rFonts w:asciiTheme="minorHAnsi" w:hAnsiTheme="minorHAnsi" w:eastAsiaTheme="minorEastAsia" w:cstheme="minorBidi"/>
      <w:sz w:val="21"/>
      <w:szCs w:val="24"/>
    </w:rPr>
  </w:style>
  <w:style w:type="paragraph" w:styleId="880" w:customStyle="1">
    <w:name w:val="修订1"/>
    <w:hidden/>
    <w:uiPriority w:val="99"/>
    <w:semiHidden/>
    <w:qFormat/>
    <w:rPr>
      <w:rFonts w:asciiTheme="minorHAnsi" w:hAnsiTheme="minorHAnsi" w:eastAsiaTheme="minorEastAsia" w:cstheme="minorBidi"/>
      <w:sz w:val="21"/>
      <w:szCs w:val="24"/>
      <w:lang w:val="en-US" w:eastAsia="zh-CN" w:bidi="ar-SA"/>
    </w:rPr>
  </w:style>
  <w:style w:type="paragraph" w:styleId="881" w:customStyle="1">
    <w:name w:val="正文首行缩进11"/>
    <w:basedOn w:val="882"/>
    <w:next w:val="647"/>
    <w:uiPriority w:val="99"/>
    <w:unhideWhenUsed/>
    <w:qFormat/>
    <w:pPr>
      <w:ind w:firstLine="420"/>
    </w:pPr>
    <w:rPr>
      <w:rFonts w:ascii="Times New Roman" w:hAnsi="Times New Roman"/>
    </w:rPr>
  </w:style>
  <w:style w:type="paragraph" w:styleId="882" w:customStyle="1">
    <w:name w:val="正文文本11"/>
    <w:basedOn w:val="647"/>
    <w:next w:val="647"/>
    <w:uiPriority w:val="0"/>
    <w:qFormat/>
    <w:rPr>
      <w:rFonts w:ascii="楷体_GB2312" w:hAnsi="Arial" w:eastAsia="楷体_GB2312"/>
      <w:sz w:val="28"/>
      <w:szCs w:val="28"/>
      <w:lang w:eastAsia="en-US"/>
    </w:rPr>
  </w:style>
  <w:style w:type="paragraph" w:styleId="883" w:customStyle="1">
    <w:name w:val="段落文字"/>
    <w:basedOn w:val="647"/>
    <w:uiPriority w:val="0"/>
    <w:qFormat/>
    <w:rPr>
      <w:rFonts w:cs="Times New Roman"/>
      <w:color w:val="000000"/>
      <w:sz w:val="24"/>
      <w:szCs w:val="28"/>
    </w:rPr>
  </w:style>
  <w:style w:type="character" w:styleId="884" w:customStyle="1">
    <w:name w:val="批注文字 字符"/>
    <w:basedOn w:val="657"/>
    <w:link w:val="661"/>
    <w:uiPriority w:val="0"/>
    <w:qFormat/>
    <w:rPr>
      <w:rFonts w:asciiTheme="minorHAnsi" w:hAnsiTheme="minorHAnsi" w:eastAsiaTheme="minorEastAsia" w:cstheme="minorBidi"/>
      <w:sz w:val="21"/>
      <w:szCs w:val="24"/>
    </w:rPr>
  </w:style>
  <w:style w:type="character" w:styleId="885" w:customStyle="1">
    <w:name w:val="批注主题 字符"/>
    <w:basedOn w:val="884"/>
    <w:link w:val="684"/>
    <w:uiPriority w:val="99"/>
    <w:semiHidden/>
    <w:qFormat/>
    <w:rPr>
      <w:rFonts w:asciiTheme="minorHAnsi" w:hAnsiTheme="minorHAnsi" w:eastAsiaTheme="minorEastAsia" w:cstheme="minorBidi"/>
      <w:b/>
      <w:bCs/>
      <w:sz w:val="21"/>
      <w:szCs w:val="24"/>
    </w:rPr>
  </w:style>
  <w:style w:type="paragraph" w:styleId="886" w:customStyle="1">
    <w:name w:val="修订2"/>
    <w:hidden/>
    <w:uiPriority w:val="99"/>
    <w:unhideWhenUsed/>
    <w:qFormat/>
    <w:rPr>
      <w:rFonts w:asciiTheme="minorHAnsi" w:hAnsiTheme="minorHAnsi" w:eastAsiaTheme="minorEastAsia" w:cstheme="minorBidi"/>
      <w:sz w:val="21"/>
      <w:szCs w:val="24"/>
      <w:lang w:val="en-US" w:eastAsia="zh-CN" w:bidi="ar-SA"/>
    </w:rPr>
  </w:style>
  <w:style w:type="paragraph" w:styleId="887" w:customStyle="1">
    <w:name w:val="修订3"/>
    <w:hidden/>
    <w:uiPriority w:val="99"/>
    <w:unhideWhenUsed/>
    <w:qFormat/>
    <w:rPr>
      <w:rFonts w:asciiTheme="minorHAnsi" w:hAnsiTheme="minorHAnsi" w:eastAsiaTheme="minorEastAsia" w:cstheme="minorBidi"/>
      <w:sz w:val="21"/>
      <w:szCs w:val="24"/>
      <w:lang w:val="en-US" w:eastAsia="zh-CN" w:bidi="ar-SA"/>
    </w:rPr>
  </w:style>
  <w:style w:type="paragraph" w:styleId="888" w:customStyle="1">
    <w:name w:val="普通(网站)12"/>
    <w:basedOn w:val="647"/>
    <w:uiPriority w:val="99"/>
    <w:qFormat/>
    <w:pPr>
      <w:jc w:val="left"/>
      <w:spacing w:before="100" w:beforeAutospacing="1" w:after="100" w:afterAutospacing="1"/>
    </w:pPr>
    <w:rPr>
      <w:rFonts w:ascii="宋体" w:hAnsi="宋体" w:cs="宋体"/>
      <w:sz w:val="24"/>
    </w:rPr>
  </w:style>
  <w:style w:type="paragraph" w:styleId="889" w:customStyle="1">
    <w:name w:val="修订4"/>
    <w:hidden/>
    <w:uiPriority w:val="99"/>
    <w:unhideWhenUsed/>
    <w:qFormat/>
    <w:rPr>
      <w:rFonts w:asciiTheme="minorHAnsi" w:hAnsiTheme="minorHAnsi" w:eastAsiaTheme="minorEastAsia" w:cstheme="minorBidi"/>
      <w:sz w:val="21"/>
      <w:szCs w:val="24"/>
      <w:lang w:val="en-US" w:eastAsia="zh-CN" w:bidi="ar-SA"/>
    </w:rPr>
  </w:style>
  <w:style w:type="paragraph" w:styleId="890" w:customStyle="1">
    <w:name w:val="Table Paragraph"/>
    <w:basedOn w:val="647"/>
    <w:uiPriority w:val="1"/>
    <w:qFormat/>
    <w:pPr>
      <w:jc w:val="left"/>
    </w:pPr>
    <w:rPr>
      <w:rFonts w:ascii="Calibri" w:hAnsi="Calibri" w:eastAsia="宋体" w:cs="Calibri"/>
      <w:sz w:val="22"/>
      <w:szCs w:val="22"/>
      <w:lang w:eastAsia="en-US"/>
    </w:rPr>
  </w:style>
  <w:style w:type="paragraph" w:styleId="891" w:customStyle="1">
    <w:name w:val="修订5"/>
    <w:hidden/>
    <w:uiPriority w:val="99"/>
    <w:unhideWhenUsed/>
    <w:qFormat/>
    <w:rPr>
      <w:rFonts w:asciiTheme="minorHAnsi" w:hAnsiTheme="minorHAnsi" w:eastAsiaTheme="minorEastAsia" w:cstheme="minorBidi"/>
      <w:sz w:val="21"/>
      <w:szCs w:val="24"/>
      <w:lang w:val="en-US" w:eastAsia="zh-CN" w:bidi="ar-SA"/>
    </w:rPr>
  </w:style>
  <w:style w:type="paragraph" w:styleId="892" w:customStyle="1">
    <w:name w:val="Revision"/>
    <w:hidden/>
    <w:uiPriority w:val="99"/>
    <w:unhideWhenUsed/>
    <w:qFormat/>
    <w:rPr>
      <w:rFonts w:asciiTheme="minorHAnsi" w:hAnsiTheme="minorHAnsi" w:eastAsiaTheme="minorEastAsia" w:cstheme="minorBidi"/>
      <w:sz w:val="21"/>
      <w:szCs w:val="24"/>
      <w:lang w:val="en-US" w:eastAsia="zh-CN" w:bidi="ar-SA"/>
    </w:rPr>
  </w:style>
  <w:style w:type="numbering" w:styleId="138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9521115-C37B-45FD-A249-756AE6DC27B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杨秀</cp:lastModifiedBy>
  <cp:revision>3166</cp:revision>
  <dcterms:created xsi:type="dcterms:W3CDTF">2024-09-23T05:47:00Z</dcterms:created>
  <dcterms:modified xsi:type="dcterms:W3CDTF">2026-05-13T07:42:44Z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D8C13968AEAC46D2973836849F08F4BB_13</vt:lpwstr>
  </property>
  <property fmtid="{D5CDD505-2E9C-101B-9397-08002B2CF9AE}" pid="4" name="KSOTemplateDocerSaveRecord">
    <vt:lpwstr>eyJoZGlkIjoiNmUyMGI5M2JhYzYyYTk2OTFjNzZhNmUyMDIwZjkyOGYiLCJ1c2VySWQiOiI1MDc3NTIxMjUifQ==</vt:lpwstr>
  </property>
</Properties>
</file>